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ascii="仿宋" w:hAnsi="仿宋" w:eastAsia="仿宋" w:cs="仿宋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 xml:space="preserve">  《寡人之于国也》复习导学案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2520" w:firstLineChars="1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《寡人之于国也》导学案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lang w:eastAsia="zh-CN"/>
        </w:rPr>
        <w:t>班级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lang w:val="en-US" w:eastAsia="zh-CN"/>
        </w:rPr>
        <w:t xml:space="preserve">                 姓名          学号                分数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考纲要求：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掌握文学常识。                      2、掌握常见实词在句中的含义。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3、准确翻译文中的句子。                4、了解常见虚词在句中用法。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5、理解与现代汉语不同的文言句式用法。  6、整体了解课文所写内容。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复习目标：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掌握孟子基本情况。（填空）         2、准确翻译重要句子。（写）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3、掌握重要实词的的意思。（写）       4、掌握文中出现的重点文言句式。（选择）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5、了解虚词用法（选择）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重点：作者、实词意思、翻译句子。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难点：个别倒装句的翻译。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内容理解（目前没有考查内容理解）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复习过程：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考点一：作者基本情况。（3分钟）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学习指导：自主复习黄皮资料和课下注释，后完成下面练习。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孟子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，字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，战国邹（今山东邹县东南）人。当时著名的思想家、政治家、教育家。孟子是继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之后的一个最大的儒学大师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，后称为“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”。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作《孟子》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篇”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，《孟子》是一部全面反映孟子思想的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散文集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内容涉及</w:t>
      </w:r>
      <w:r>
        <w:rPr>
          <w:rFonts w:hint="eastAsia" w:ascii="仿宋" w:hAnsi="仿宋" w:eastAsia="仿宋" w:cs="仿宋"/>
          <w:color w:val="000000"/>
          <w:sz w:val="21"/>
          <w:szCs w:val="21"/>
          <w:u w:val="none"/>
          <w:lang w:val="en-US" w:eastAsia="zh-CN"/>
        </w:rPr>
        <w:t>政治活动</w:t>
      </w:r>
      <w:r>
        <w:rPr>
          <w:rFonts w:hint="eastAsia" w:ascii="仿宋" w:hAnsi="仿宋" w:eastAsia="仿宋" w:cs="仿宋"/>
          <w:color w:val="000000"/>
          <w:sz w:val="21"/>
          <w:szCs w:val="21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u w:val="none"/>
          <w:lang w:val="en-US" w:eastAsia="zh-CN"/>
        </w:rPr>
        <w:t>以及伦理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u w:val="none"/>
          <w:lang w:val="en-US" w:eastAsia="zh-CN"/>
        </w:rPr>
        <w:t>是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1"/>
          <w:szCs w:val="21"/>
          <w:u w:val="none"/>
          <w:lang w:val="en-US" w:eastAsia="zh-CN"/>
        </w:rPr>
        <w:t>家的经典著作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。与《大学》《中庸》《论语》一起被称为四书。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考点二：读音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学习指导：准确朗读课文，读准字音。（3分钟）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1、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给下列加点字注音。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（1）弃甲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曳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 ）兵    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（2）饿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莩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  ） 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（3）鸡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豚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 ）狗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彘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  ）之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畜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）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（4）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数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 ）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罟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 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）谨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     ）序之教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）孝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eastAsia="zh-CN"/>
        </w:rPr>
        <w:t>悌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     ）之义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考点三、重点实词意思（通假字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一词多义 词类活用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）、虚词用法、特殊句式。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背记重点字词及翻译（8分钟）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巩固方法：读一小句话，先解释重点字词，在解释的同时注意通假字、词类活用、古今异义词、一词多义、虚词用法、特殊句式等文言现象，然后串出这句话意思，若是倒装句要考虑调整顺序。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一词多义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寡人之民不加多。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加之以师旅。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数　　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范增说目项王《鸿门宴》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②数口之家，可以无饥矣（《寡人之于国也》）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③则胜负之数，存亡之理，当与秦相较，或未易量（《六国论》）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④数罟不入洿池（《寡人之于国也》）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发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①涂有饿莩而不知发（《寡人之于国也》）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②主人忘归客不发（《琵琶行》）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兵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①非我也，兵也（《寡人之于国也》）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而秦兵又至矣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胜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陈不胜犬马怖惧之情。（《陈情表》）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不违农时，谷不可胜食也（《寡人之于国也》）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王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①然而不王者（《寡人之于国也》）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②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先破秦入咸阳者王之《鸿门宴》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  （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）通假字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则无望民之多于邻国也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          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鸡豚狗彘之畜，无失其时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颁白者不负戴于道路矣 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涂有饿莩而不知发 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特殊句式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）则无望民之多于邻国也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）树之以桑。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）申之以孝悌之义。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）未之有也。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）非我也，岁也。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非我也，兵业。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（四）虚词“之”用法。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）寡人之于国也。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）察邻国之政。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）邻国之民不加多。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）王道之始也。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）五亩之宅，树之以桑。申之以孝悌之义。我之有也。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翻译重点句子：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则无望民之多余邻国也。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不违农时，谷不可胜食也。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是使民养生丧死无憾。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养生丧死无憾，王道之始也。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谨庠序之教，申之以孝悌之义，颁白者不负戴于道路矣。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人死，则曰：‘非我也，岁也。’是何异于刺人而杀之，曰‘非我也，兵也’？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  <w:t>综合检测：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下列句中加点的词语解释错误的一项是（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A.数罟不入氵夸 池（数罟：密网）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B.是使民养生丧死无憾也（丧死：丧失生命）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C.谨庠序之教（庠序：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古代地方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D.鸡豚狗彘之畜（豚：小猪彘：猪）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选出下列“数”字读音与意思相同的一项（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①数罟不入洿池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②数口之家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③范增数目项王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④媒人去数日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A．①②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B．②③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C．①④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D．②④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.“之”字用法不同于其他三项的一项是（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A.孝悌之义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B.树之以桑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C.百亩之田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D.邻国之政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4下面加点字用法与例句相同的一项是（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例句：填然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鼓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A、养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生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丧死无憾。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B、七十者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衣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帛食肉。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C、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树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之以桑。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D、王无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罪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.与“未之有也”句式相同的一句是（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A.树之以桑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B.申之以孝悌之义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C.养生丧死无憾，王道之始也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D.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大王来何操？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.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下面句子没有运用通假字的一项是：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(      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A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则无望民之多于邻国也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          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鸡豚狗彘之畜，无失其时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C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赢粮而景从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D余威震于殊俗。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下面句子没有运用通假字的一项是：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(      )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A威振四海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颁白者不负戴于道路矣  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C毋内诸侯。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D素善留侯张良。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古今异义相同的一项是（    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A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寡人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之于国也。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B弃甲曳兵而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走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C故遣守关者以备他盗之出入于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非常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D然而</w:t>
      </w:r>
      <w:r>
        <w:rPr>
          <w:rFonts w:hint="eastAsia" w:ascii="仿宋" w:hAnsi="仿宋" w:eastAsia="仿宋" w:cs="仿宋"/>
          <w:color w:val="000000"/>
          <w:sz w:val="21"/>
          <w:szCs w:val="21"/>
          <w:em w:val="dot"/>
          <w:lang w:val="en-US" w:eastAsia="zh-CN"/>
        </w:rPr>
        <w:t>成败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异变，功业相反也。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布置作业：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根据笔记回答下面问题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本文围绕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的问题展开讨论，阐述了孟子“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”的政治主张及  </w:t>
      </w:r>
      <w:r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  <w:t>“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的具体做法。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出自本文的成语是 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寓意是 </w:t>
      </w: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。      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3王道之始的具体措施是什么？效果如何？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4王道之成的具体措施是什么？效果如何？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sectPr>
      <w:headerReference r:id="rId3" w:type="default"/>
      <w:footerReference r:id="rId4" w:type="default"/>
      <w:pgSz w:w="20580" w:h="14513" w:orient="landscape"/>
      <w:pgMar w:top="1134" w:right="1134" w:bottom="1134" w:left="1134" w:header="851" w:footer="992" w:gutter="0"/>
      <w:cols w:space="2100" w:num="2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宋体"/>
        <w:b/>
        <w:bCs/>
      </w:rPr>
    </w:pPr>
    <w:r>
      <w:rPr>
        <w:rFonts w:hint="eastAsia"/>
      </w:rPr>
      <w:t xml:space="preserve">                     </w:t>
    </w:r>
    <w:r>
      <w:rPr>
        <w:rFonts w:hint="eastAsia"/>
        <w:b/>
        <w:bCs/>
      </w:rPr>
      <w:t>中专部201</w:t>
    </w:r>
    <w:r>
      <w:rPr>
        <w:rFonts w:hint="eastAsia"/>
        <w:b/>
        <w:bCs/>
        <w:lang w:val="en-US" w:eastAsia="zh-CN"/>
      </w:rPr>
      <w:t>8</w:t>
    </w:r>
    <w:r>
      <w:rPr>
        <w:rFonts w:hint="eastAsia"/>
        <w:b/>
        <w:bCs/>
      </w:rPr>
      <w:t>----201</w:t>
    </w:r>
    <w:r>
      <w:rPr>
        <w:rFonts w:hint="eastAsia"/>
        <w:b/>
        <w:bCs/>
        <w:lang w:val="en-US" w:eastAsia="zh-CN"/>
      </w:rPr>
      <w:t>9</w:t>
    </w:r>
    <w:r>
      <w:rPr>
        <w:rFonts w:hint="eastAsia"/>
        <w:b/>
        <w:bCs/>
      </w:rPr>
      <w:t>上学期1</w:t>
    </w:r>
    <w:r>
      <w:rPr>
        <w:rFonts w:hint="eastAsia"/>
        <w:b/>
        <w:bCs/>
        <w:lang w:val="en-US" w:eastAsia="zh-CN"/>
      </w:rPr>
      <w:t>6</w:t>
    </w:r>
    <w:r>
      <w:rPr>
        <w:rFonts w:hint="eastAsia"/>
        <w:b/>
        <w:bCs/>
      </w:rPr>
      <w:t xml:space="preserve">级语文   </w:t>
    </w:r>
    <w:r>
      <w:rPr>
        <w:rFonts w:hint="eastAsia"/>
        <w:b/>
        <w:bCs/>
        <w:lang w:val="en-US" w:eastAsia="zh-CN"/>
      </w:rPr>
      <w:t>拓展模块</w:t>
    </w:r>
    <w:r>
      <w:rPr>
        <w:rFonts w:hint="eastAsia"/>
        <w:b/>
        <w:bCs/>
      </w:rPr>
      <w:t xml:space="preserve">  总复习     编号</w:t>
    </w:r>
    <w:r>
      <w:rPr>
        <w:rFonts w:hint="eastAsia"/>
        <w:b/>
        <w:bCs/>
        <w:lang w:val="en-US" w:eastAsia="zh-CN"/>
      </w:rPr>
      <w:t>2</w:t>
    </w:r>
    <w:r>
      <w:rPr>
        <w:rFonts w:hint="eastAsia"/>
        <w:b/>
        <w:bCs/>
      </w:rPr>
      <w:t xml:space="preserve">— </w:t>
    </w:r>
    <w:r>
      <w:rPr>
        <w:rFonts w:hint="eastAsia"/>
        <w:b/>
        <w:bCs/>
        <w:lang w:val="en-US" w:eastAsia="zh-CN"/>
      </w:rPr>
      <w:t>2</w:t>
    </w:r>
    <w:r>
      <w:rPr>
        <w:rFonts w:hint="eastAsia"/>
        <w:b/>
        <w:bCs/>
      </w:rPr>
      <w:t xml:space="preserve">        制作人：</w:t>
    </w:r>
    <w:r>
      <w:rPr>
        <w:rFonts w:hint="eastAsia"/>
        <w:b/>
        <w:bCs/>
        <w:lang w:val="en-US" w:eastAsia="zh-CN"/>
      </w:rPr>
      <w:t>王亚静</w:t>
    </w:r>
    <w:r>
      <w:rPr>
        <w:rFonts w:hint="eastAsia"/>
        <w:b/>
        <w:bCs/>
      </w:rPr>
      <w:t xml:space="preserve">   试做人：</w:t>
    </w:r>
    <w:r>
      <w:rPr>
        <w:rFonts w:hint="eastAsia"/>
        <w:b/>
        <w:bCs/>
        <w:lang w:val="en-US" w:eastAsia="zh-CN"/>
      </w:rPr>
      <w:t>李韶刚</w:t>
    </w:r>
    <w:r>
      <w:rPr>
        <w:rFonts w:hint="eastAsia"/>
        <w:b/>
        <w:bCs/>
      </w:rPr>
      <w:t xml:space="preserve">                 时间201</w:t>
    </w:r>
    <w:r>
      <w:rPr>
        <w:rFonts w:hint="eastAsia"/>
        <w:b/>
        <w:bCs/>
        <w:lang w:val="en-US" w:eastAsia="zh-CN"/>
      </w:rPr>
      <w:t>9</w:t>
    </w:r>
    <w:r>
      <w:rPr>
        <w:rFonts w:hint="eastAsia"/>
        <w:b/>
        <w:bCs/>
      </w:rPr>
      <w:t>年</w:t>
    </w:r>
    <w:r>
      <w:rPr>
        <w:rFonts w:hint="eastAsia"/>
        <w:b/>
        <w:bCs/>
        <w:lang w:val="en-US" w:eastAsia="zh-CN"/>
      </w:rPr>
      <w:t>1</w:t>
    </w:r>
    <w:r>
      <w:rPr>
        <w:rFonts w:hint="eastAsia"/>
        <w:b/>
        <w:bCs/>
      </w:rPr>
      <w:t xml:space="preserve">  月   日</w:t>
    </w:r>
  </w:p>
  <w:p>
    <w:pPr>
      <w:pStyle w:val="5"/>
      <w:rPr>
        <w:rFonts w:eastAsia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5435"/>
    <w:multiLevelType w:val="singleLevel"/>
    <w:tmpl w:val="5853543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397EC"/>
    <w:multiLevelType w:val="singleLevel"/>
    <w:tmpl w:val="587397E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BE229E"/>
    <w:multiLevelType w:val="singleLevel"/>
    <w:tmpl w:val="58BE229E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8BE5B3D"/>
    <w:multiLevelType w:val="singleLevel"/>
    <w:tmpl w:val="58BE5B3D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8BE5C3F"/>
    <w:multiLevelType w:val="singleLevel"/>
    <w:tmpl w:val="58BE5C3F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8BE5CD2"/>
    <w:multiLevelType w:val="singleLevel"/>
    <w:tmpl w:val="58BE5CD2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8BE604B"/>
    <w:multiLevelType w:val="singleLevel"/>
    <w:tmpl w:val="58BE604B"/>
    <w:lvl w:ilvl="0" w:tentative="0">
      <w:start w:val="8"/>
      <w:numFmt w:val="decimal"/>
      <w:suff w:val="nothing"/>
      <w:lvlText w:val="%1、"/>
      <w:lvlJc w:val="left"/>
    </w:lvl>
  </w:abstractNum>
  <w:abstractNum w:abstractNumId="7">
    <w:nsid w:val="58BE6876"/>
    <w:multiLevelType w:val="singleLevel"/>
    <w:tmpl w:val="58BE68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C8095F"/>
    <w:rsid w:val="1E2110DC"/>
    <w:rsid w:val="1EE13C65"/>
    <w:rsid w:val="5A5B0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Addre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000077"/>
      <w:u w:val="none"/>
    </w:rPr>
  </w:style>
  <w:style w:type="character" w:styleId="10">
    <w:name w:val="Hyperlink"/>
    <w:basedOn w:val="8"/>
    <w:qFormat/>
    <w:uiPriority w:val="0"/>
    <w:rPr>
      <w:color w:val="000077"/>
      <w:u w:val="none"/>
    </w:rPr>
  </w:style>
  <w:style w:type="paragraph" w:customStyle="1" w:styleId="12">
    <w:name w:val="Plain Text"/>
    <w:basedOn w:val="1"/>
    <w:qFormat/>
    <w:uiPriority w:val="0"/>
    <w:rPr>
      <w:rFonts w:hint="eastAsia" w:ascii="宋体" w:hAnsi="Courier New"/>
    </w:rPr>
  </w:style>
  <w:style w:type="paragraph" w:customStyle="1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7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18">
    <w:name w:val="样式1"/>
    <w:basedOn w:val="14"/>
    <w:uiPriority w:val="0"/>
    <w:pPr>
      <w:spacing w:before="0" w:beforeAutospacing="0" w:after="0" w:afterAutospacing="0" w:line="400" w:lineRule="exact"/>
    </w:pPr>
    <w:rPr>
      <w:rFonts w:ascii="仿宋" w:hAnsi="仿宋" w:eastAsia="仿宋" w:cs="仿宋"/>
      <w:bCs/>
      <w:color w:val="000000"/>
      <w:szCs w:val="24"/>
    </w:rPr>
  </w:style>
  <w:style w:type="paragraph" w:customStyle="1" w:styleId="19">
    <w:name w:val="样式2"/>
    <w:basedOn w:val="14"/>
    <w:qFormat/>
    <w:uiPriority w:val="0"/>
    <w:pPr>
      <w:spacing w:before="0" w:beforeAutospacing="0" w:after="0" w:afterAutospacing="0" w:line="340" w:lineRule="exact"/>
    </w:pPr>
    <w:rPr>
      <w:rFonts w:ascii="仿宋" w:hAnsi="仿宋" w:eastAsia="仿宋" w:cs="仿宋"/>
      <w:bCs/>
      <w:color w:val="000000"/>
      <w:sz w:val="21"/>
      <w:szCs w:val="21"/>
    </w:rPr>
  </w:style>
  <w:style w:type="paragraph" w:customStyle="1" w:styleId="20">
    <w:name w:val="List Paragraph"/>
    <w:basedOn w:val="1"/>
    <w:uiPriority w:val="0"/>
    <w:pPr>
      <w:ind w:firstLine="420" w:firstLineChars="200"/>
    </w:pPr>
  </w:style>
  <w:style w:type="character" w:customStyle="1" w:styleId="21">
    <w:name w:val="HTML Definition"/>
    <w:basedOn w:val="8"/>
    <w:qFormat/>
    <w:uiPriority w:val="0"/>
  </w:style>
  <w:style w:type="character" w:customStyle="1" w:styleId="22">
    <w:name w:val="HTML Variable"/>
    <w:basedOn w:val="8"/>
    <w:qFormat/>
    <w:uiPriority w:val="0"/>
  </w:style>
  <w:style w:type="character" w:customStyle="1" w:styleId="23">
    <w:name w:val="HTML Code"/>
    <w:basedOn w:val="8"/>
    <w:uiPriority w:val="0"/>
    <w:rPr>
      <w:rFonts w:ascii="Courier New" w:hAnsi="Courier New"/>
      <w:sz w:val="20"/>
    </w:rPr>
  </w:style>
  <w:style w:type="character" w:customStyle="1" w:styleId="24">
    <w:name w:val="HTML Cite"/>
    <w:basedOn w:val="8"/>
    <w:uiPriority w:val="0"/>
  </w:style>
  <w:style w:type="character" w:customStyle="1" w:styleId="25">
    <w:name w:val="hover9"/>
    <w:basedOn w:val="8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1051</Words>
  <Characters>5994</Characters>
  <Lines>49</Lines>
  <Paragraphs>14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2019-01-24T07:05:26Z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