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59" w:rsidRDefault="000C0681">
      <w:pPr>
        <w:pStyle w:val="1"/>
        <w:framePr w:wrap="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基于学生核心素养的小学语文批判性阅读教学研究的中期报告</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为了开展“基于学生核心素养的小学语文批判性阅读教学研究”，课题主持人带领课题组成员，积极开展课题相关探索。自2018年4月课题开题以来，课题组吸取专家的建议进行了调整，围绕调整后的课题研究计划，积极开展批判性阅读教学课堂实践，及时进行课例总结，并深入研究与探讨，取得了阶段性研究成果。半年来的课题研究工作，作如下报告。</w:t>
      </w:r>
    </w:p>
    <w:p w:rsidR="00704859" w:rsidRPr="005F67EE" w:rsidRDefault="000C0681" w:rsidP="005F67EE">
      <w:pPr>
        <w:pStyle w:val="1"/>
        <w:framePr w:wrap="auto"/>
        <w:spacing w:line="360" w:lineRule="auto"/>
        <w:rPr>
          <w:rFonts w:asciiTheme="minorEastAsia" w:eastAsiaTheme="minorEastAsia" w:hAnsiTheme="minorEastAsia" w:cstheme="minorEastAsia"/>
          <w:sz w:val="24"/>
          <w:szCs w:val="24"/>
        </w:rPr>
      </w:pPr>
      <w:r w:rsidRPr="005F67EE">
        <w:rPr>
          <w:rFonts w:asciiTheme="minorEastAsia" w:eastAsiaTheme="minorEastAsia" w:hAnsiTheme="minorEastAsia" w:cstheme="minorEastAsia" w:hint="eastAsia"/>
          <w:b/>
          <w:bCs/>
          <w:sz w:val="24"/>
          <w:szCs w:val="24"/>
        </w:rPr>
        <w:t>一、研究工作主要进展</w:t>
      </w:r>
    </w:p>
    <w:p w:rsidR="00704859" w:rsidRPr="005F67EE" w:rsidRDefault="000C0681" w:rsidP="005F67EE">
      <w:pPr>
        <w:spacing w:line="360" w:lineRule="auto"/>
        <w:ind w:firstLineChars="200" w:firstLine="480"/>
        <w:rPr>
          <w:rFonts w:asciiTheme="minorEastAsia" w:hAnsiTheme="minorEastAsia" w:cstheme="minorEastAsia"/>
          <w:bCs/>
          <w:sz w:val="24"/>
          <w:szCs w:val="24"/>
        </w:rPr>
      </w:pPr>
      <w:r w:rsidRPr="005F67EE">
        <w:rPr>
          <w:rFonts w:asciiTheme="minorEastAsia" w:hAnsiTheme="minorEastAsia" w:cstheme="minorEastAsia" w:hint="eastAsia"/>
          <w:sz w:val="24"/>
          <w:szCs w:val="24"/>
        </w:rPr>
        <w:t>2018年4月开题论证会上，湖里进修学校朱淑秀老师、集美进修学校廖光华老师、海</w:t>
      </w:r>
      <w:proofErr w:type="gramStart"/>
      <w:r w:rsidRPr="005F67EE">
        <w:rPr>
          <w:rFonts w:asciiTheme="minorEastAsia" w:hAnsiTheme="minorEastAsia" w:cstheme="minorEastAsia" w:hint="eastAsia"/>
          <w:sz w:val="24"/>
          <w:szCs w:val="24"/>
        </w:rPr>
        <w:t>沧</w:t>
      </w:r>
      <w:proofErr w:type="gramEnd"/>
      <w:r w:rsidRPr="005F67EE">
        <w:rPr>
          <w:rFonts w:asciiTheme="minorEastAsia" w:hAnsiTheme="minorEastAsia" w:cstheme="minorEastAsia" w:hint="eastAsia"/>
          <w:sz w:val="24"/>
          <w:szCs w:val="24"/>
        </w:rPr>
        <w:t>进修学校陈碧云老师充分肯定了该课题的研究价值，但对课题的目标、研究方法、研究走向等问题提出了许多建设性的意见。课题组高度重视，根据专家的指导，对课题的研究方案进行的修改与完善。如专家组认为课题研究的重点需落实在</w:t>
      </w:r>
      <w:r w:rsidRPr="005F67EE">
        <w:rPr>
          <w:rFonts w:asciiTheme="minorEastAsia" w:hAnsiTheme="minorEastAsia" w:cstheme="minorEastAsia" w:hint="eastAsia"/>
          <w:bCs/>
          <w:sz w:val="24"/>
          <w:szCs w:val="24"/>
        </w:rPr>
        <w:t>总结小学生批判性阅读行之有效的模式上，研究出具有操作性的策略，同时减少理论论证。为此，课题组围绕“基于学生核心素养的小学语文批判性阅读教学研究”这一总课题，设计了一下四个方面的研究：1.批判性思维在小学语文阅读教学中的渗透；2.引导学生个性化阅读策略的研究；3.批判性阅读教学中问题引导策略的研究；4.学生的反思型阅读教学策略研究。</w:t>
      </w:r>
    </w:p>
    <w:p w:rsidR="00704859" w:rsidRPr="005F67EE" w:rsidRDefault="000C0681" w:rsidP="005F67EE">
      <w:pPr>
        <w:spacing w:line="360" w:lineRule="auto"/>
        <w:ind w:firstLineChars="200" w:firstLine="480"/>
        <w:rPr>
          <w:rFonts w:asciiTheme="minorEastAsia" w:hAnsiTheme="minorEastAsia" w:cstheme="minorEastAsia"/>
          <w:bCs/>
          <w:sz w:val="24"/>
          <w:szCs w:val="24"/>
        </w:rPr>
      </w:pPr>
      <w:r w:rsidRPr="005F67EE">
        <w:rPr>
          <w:rFonts w:asciiTheme="minorEastAsia" w:hAnsiTheme="minorEastAsia" w:cstheme="minorEastAsia" w:hint="eastAsia"/>
          <w:bCs/>
          <w:sz w:val="24"/>
          <w:szCs w:val="24"/>
        </w:rPr>
        <w:t>为提高课题组成员的理论研究水平，我们课题组阅读了一系列有关批判性思维阅读教学的书籍与论文，如杜威的《批判性思维工具》、董毓的《批判性思维原理和方法》等，并定期进行交流讨论。在完善理论的基础上，课题组成员积极将理论落实到具体的课堂中去，实践批判性思维在小学语文阅读教学中的运用。尤其在培养学生批判性思维方面，课题组成员达成了共识：批判性思维的培养不是一蹴而就的，需要在课堂教学中逐步渗透。如何在渗透中对学生进行有效的引导，成了我们课题组调整后的研究重点。</w:t>
      </w:r>
    </w:p>
    <w:p w:rsidR="00704859" w:rsidRDefault="000C0681" w:rsidP="005F67EE">
      <w:pPr>
        <w:spacing w:line="360" w:lineRule="auto"/>
        <w:ind w:firstLineChars="200" w:firstLine="480"/>
        <w:rPr>
          <w:rFonts w:asciiTheme="minorEastAsia" w:hAnsiTheme="minorEastAsia" w:cstheme="minorEastAsia"/>
          <w:bCs/>
          <w:sz w:val="24"/>
          <w:szCs w:val="24"/>
        </w:rPr>
      </w:pPr>
      <w:r w:rsidRPr="005F67EE">
        <w:rPr>
          <w:rFonts w:asciiTheme="minorEastAsia" w:hAnsiTheme="minorEastAsia" w:cstheme="minorEastAsia" w:hint="eastAsia"/>
          <w:bCs/>
          <w:sz w:val="24"/>
          <w:szCs w:val="24"/>
        </w:rPr>
        <w:t>课题组成员在深入研究理论的同时，在课堂中反复摸索，针对如何通过问题引导策略来渗透批判性思维这一研究预设上，石晓珞对问题的类型进行了整合，初步提出了问题提问效度的模式，以供其他教师在进行批判性思维渗透时进行对照参考。这个模式在石晓珞撰写的《小学语文课堂提问与“思辨“”思维方式渗透》论文中进行了论证，摘录如下：</w:t>
      </w:r>
    </w:p>
    <w:p w:rsidR="005F67EE" w:rsidRPr="005F67EE" w:rsidRDefault="005F67EE" w:rsidP="005F67EE">
      <w:pPr>
        <w:spacing w:line="360" w:lineRule="auto"/>
        <w:ind w:firstLineChars="200" w:firstLine="480"/>
        <w:rPr>
          <w:rFonts w:asciiTheme="minorEastAsia" w:hAnsiTheme="minorEastAsia" w:cstheme="minorEastAsia"/>
          <w:bCs/>
          <w:sz w:val="24"/>
          <w:szCs w:val="24"/>
        </w:rPr>
      </w:pPr>
    </w:p>
    <w:p w:rsidR="00704859" w:rsidRDefault="000C0681">
      <w:pPr>
        <w:jc w:val="center"/>
        <w:rPr>
          <w:rFonts w:ascii="华文楷体" w:eastAsia="华文楷体" w:hAnsi="华文楷体" w:cs="华文楷体"/>
          <w:bCs/>
          <w:sz w:val="24"/>
          <w:szCs w:val="24"/>
        </w:rPr>
      </w:pPr>
      <w:r>
        <w:rPr>
          <w:rFonts w:ascii="华文楷体" w:eastAsia="华文楷体" w:hAnsi="华文楷体" w:cs="华文楷体" w:hint="eastAsia"/>
          <w:sz w:val="24"/>
          <w:szCs w:val="24"/>
        </w:rPr>
        <w:lastRenderedPageBreak/>
        <w:t>表1：课堂提问的类型与教学目标关联</w:t>
      </w:r>
    </w:p>
    <w:tbl>
      <w:tblPr>
        <w:tblStyle w:val="a3"/>
        <w:tblW w:w="8672" w:type="dxa"/>
        <w:tblLayout w:type="fixed"/>
        <w:tblLook w:val="04A0" w:firstRow="1" w:lastRow="0" w:firstColumn="1" w:lastColumn="0" w:noHBand="0" w:noVBand="1"/>
      </w:tblPr>
      <w:tblGrid>
        <w:gridCol w:w="1101"/>
        <w:gridCol w:w="1174"/>
        <w:gridCol w:w="1130"/>
        <w:gridCol w:w="1053"/>
        <w:gridCol w:w="1053"/>
        <w:gridCol w:w="1053"/>
        <w:gridCol w:w="1054"/>
        <w:gridCol w:w="1054"/>
      </w:tblGrid>
      <w:tr w:rsidR="00704859">
        <w:trPr>
          <w:trHeight w:val="528"/>
        </w:trPr>
        <w:tc>
          <w:tcPr>
            <w:tcW w:w="2275" w:type="dxa"/>
            <w:gridSpan w:val="2"/>
            <w:tcBorders>
              <w:tl2br w:val="single" w:sz="4" w:space="0" w:color="auto"/>
            </w:tcBorders>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 xml:space="preserve">             目标</w:t>
            </w:r>
          </w:p>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 xml:space="preserve">类型    </w:t>
            </w:r>
          </w:p>
        </w:tc>
        <w:tc>
          <w:tcPr>
            <w:tcW w:w="1130"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知识</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理解</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应用</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分析</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综合</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评估</w:t>
            </w:r>
          </w:p>
        </w:tc>
      </w:tr>
      <w:tr w:rsidR="00704859">
        <w:trPr>
          <w:trHeight w:val="528"/>
        </w:trPr>
        <w:tc>
          <w:tcPr>
            <w:tcW w:w="1101" w:type="dxa"/>
            <w:vMerge w:val="restart"/>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基于事实</w:t>
            </w:r>
          </w:p>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的问题</w:t>
            </w:r>
          </w:p>
        </w:tc>
        <w:tc>
          <w:tcPr>
            <w:tcW w:w="117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关联</w:t>
            </w:r>
          </w:p>
        </w:tc>
        <w:tc>
          <w:tcPr>
            <w:tcW w:w="1130" w:type="dxa"/>
          </w:tcPr>
          <w:p w:rsidR="00704859" w:rsidRDefault="000C0681">
            <w:pPr>
              <w:jc w:val="cente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jc w:val="cente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r>
      <w:tr w:rsidR="00704859">
        <w:trPr>
          <w:trHeight w:val="547"/>
        </w:trPr>
        <w:tc>
          <w:tcPr>
            <w:tcW w:w="1101" w:type="dxa"/>
            <w:vMerge/>
          </w:tcPr>
          <w:p w:rsidR="00704859" w:rsidRDefault="00704859">
            <w:pPr>
              <w:rPr>
                <w:rFonts w:ascii="华文楷体" w:eastAsia="华文楷体" w:hAnsi="华文楷体" w:cs="华文楷体"/>
                <w:sz w:val="24"/>
                <w:szCs w:val="24"/>
              </w:rPr>
            </w:pPr>
          </w:p>
        </w:tc>
        <w:tc>
          <w:tcPr>
            <w:tcW w:w="117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例子</w:t>
            </w:r>
          </w:p>
        </w:tc>
        <w:tc>
          <w:tcPr>
            <w:tcW w:w="1130"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张家去了，李家去了，王家去了，这就叫做？</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之前小村庄是什么样子呢？</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树木变成了？变成了？变成了？变成了？</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它为什么消失了？谁导致的？</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造成这样子，是人们什么行为造成的？你能不能用一个词？</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r>
      <w:tr w:rsidR="00704859">
        <w:trPr>
          <w:trHeight w:val="528"/>
        </w:trPr>
        <w:tc>
          <w:tcPr>
            <w:tcW w:w="1101" w:type="dxa"/>
            <w:vMerge w:val="restart"/>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基于偏好的问题</w:t>
            </w:r>
          </w:p>
        </w:tc>
        <w:tc>
          <w:tcPr>
            <w:tcW w:w="117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关联</w:t>
            </w:r>
          </w:p>
        </w:tc>
        <w:tc>
          <w:tcPr>
            <w:tcW w:w="1130"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r>
      <w:tr w:rsidR="00704859">
        <w:trPr>
          <w:trHeight w:val="547"/>
        </w:trPr>
        <w:tc>
          <w:tcPr>
            <w:tcW w:w="1101" w:type="dxa"/>
            <w:vMerge/>
          </w:tcPr>
          <w:p w:rsidR="00704859" w:rsidRDefault="00704859">
            <w:pPr>
              <w:rPr>
                <w:rFonts w:ascii="华文楷体" w:eastAsia="华文楷体" w:hAnsi="华文楷体" w:cs="华文楷体"/>
                <w:sz w:val="24"/>
                <w:szCs w:val="24"/>
              </w:rPr>
            </w:pPr>
          </w:p>
        </w:tc>
        <w:tc>
          <w:tcPr>
            <w:tcW w:w="117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例子</w:t>
            </w:r>
          </w:p>
        </w:tc>
        <w:tc>
          <w:tcPr>
            <w:tcW w:w="1130"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0</w:t>
            </w:r>
          </w:p>
        </w:tc>
      </w:tr>
      <w:tr w:rsidR="00704859">
        <w:trPr>
          <w:trHeight w:val="528"/>
        </w:trPr>
        <w:tc>
          <w:tcPr>
            <w:tcW w:w="1101" w:type="dxa"/>
            <w:vMerge w:val="restart"/>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基于判断的问题</w:t>
            </w:r>
          </w:p>
        </w:tc>
        <w:tc>
          <w:tcPr>
            <w:tcW w:w="117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关联</w:t>
            </w:r>
          </w:p>
        </w:tc>
        <w:tc>
          <w:tcPr>
            <w:tcW w:w="1130"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w:t>
            </w:r>
          </w:p>
        </w:tc>
      </w:tr>
      <w:tr w:rsidR="00704859">
        <w:trPr>
          <w:trHeight w:val="547"/>
        </w:trPr>
        <w:tc>
          <w:tcPr>
            <w:tcW w:w="1101" w:type="dxa"/>
            <w:vMerge/>
          </w:tcPr>
          <w:p w:rsidR="00704859" w:rsidRDefault="00704859">
            <w:pPr>
              <w:rPr>
                <w:rFonts w:ascii="华文楷体" w:eastAsia="华文楷体" w:hAnsi="华文楷体" w:cs="华文楷体"/>
                <w:sz w:val="24"/>
                <w:szCs w:val="24"/>
              </w:rPr>
            </w:pPr>
          </w:p>
        </w:tc>
        <w:tc>
          <w:tcPr>
            <w:tcW w:w="117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例子</w:t>
            </w:r>
          </w:p>
        </w:tc>
        <w:tc>
          <w:tcPr>
            <w:tcW w:w="1130"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谁家，还想干嘛？</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你从这“一棵一棵”，你解读出了什</w:t>
            </w:r>
            <w:r>
              <w:rPr>
                <w:rFonts w:ascii="华文楷体" w:eastAsia="华文楷体" w:hAnsi="华文楷体" w:cs="华文楷体" w:hint="eastAsia"/>
                <w:sz w:val="24"/>
                <w:szCs w:val="24"/>
              </w:rPr>
              <w:lastRenderedPageBreak/>
              <w:t>么呢？</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你从“不断、不断”体会到什</w:t>
            </w:r>
            <w:r>
              <w:rPr>
                <w:rFonts w:ascii="华文楷体" w:eastAsia="华文楷体" w:hAnsi="华文楷体" w:cs="华文楷体" w:hint="eastAsia"/>
                <w:sz w:val="24"/>
                <w:szCs w:val="24"/>
              </w:rPr>
              <w:lastRenderedPageBreak/>
              <w:t>么？</w:t>
            </w:r>
          </w:p>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t>（排比的运用）</w:t>
            </w:r>
          </w:p>
        </w:tc>
        <w:tc>
          <w:tcPr>
            <w:tcW w:w="1053"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假如大雨“喘气儿”了，村庄还有</w:t>
            </w:r>
            <w:r>
              <w:rPr>
                <w:rFonts w:ascii="华文楷体" w:eastAsia="华文楷体" w:hAnsi="华文楷体" w:cs="华文楷体" w:hint="eastAsia"/>
                <w:sz w:val="24"/>
                <w:szCs w:val="24"/>
              </w:rPr>
              <w:lastRenderedPageBreak/>
              <w:t>可能被卷走吗？</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你觉得它（作文）好在哪里？</w:t>
            </w:r>
          </w:p>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（写作方法的综合）</w:t>
            </w:r>
          </w:p>
        </w:tc>
        <w:tc>
          <w:tcPr>
            <w:tcW w:w="1054" w:type="dxa"/>
          </w:tcPr>
          <w:p w:rsidR="00704859" w:rsidRDefault="000C0681">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0</w:t>
            </w:r>
          </w:p>
          <w:p w:rsidR="00704859" w:rsidRDefault="00704859">
            <w:pPr>
              <w:rPr>
                <w:rFonts w:ascii="华文楷体" w:eastAsia="华文楷体" w:hAnsi="华文楷体" w:cs="华文楷体"/>
                <w:sz w:val="24"/>
                <w:szCs w:val="24"/>
              </w:rPr>
            </w:pPr>
          </w:p>
        </w:tc>
      </w:tr>
    </w:tbl>
    <w:p w:rsidR="00704859" w:rsidRDefault="00704859">
      <w:pPr>
        <w:rPr>
          <w:rFonts w:asciiTheme="minorEastAsia" w:hAnsiTheme="minorEastAsia" w:cstheme="minorEastAsia"/>
          <w:bCs/>
          <w:sz w:val="24"/>
          <w:szCs w:val="24"/>
        </w:rPr>
      </w:pP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得出此表格，石晓珞</w:t>
      </w:r>
      <w:r w:rsidRPr="005F67EE">
        <w:rPr>
          <w:rFonts w:asciiTheme="minorEastAsia" w:eastAsiaTheme="minorEastAsia" w:hAnsiTheme="minorEastAsia" w:cstheme="minorEastAsia" w:hint="eastAsia"/>
          <w:bCs/>
          <w:sz w:val="24"/>
          <w:szCs w:val="24"/>
        </w:rPr>
        <w:t>采用对</w:t>
      </w:r>
      <w:r>
        <w:rPr>
          <w:rFonts w:asciiTheme="minorEastAsia" w:eastAsiaTheme="minorEastAsia" w:hAnsiTheme="minorEastAsia" w:cstheme="minorEastAsia" w:hint="eastAsia"/>
          <w:bCs/>
          <w:sz w:val="24"/>
          <w:szCs w:val="24"/>
        </w:rPr>
        <w:t>课堂中教师的提问与学生的提问进行文字转写</w:t>
      </w:r>
      <w:r w:rsidRPr="005F67EE">
        <w:rPr>
          <w:rFonts w:asciiTheme="minorEastAsia" w:eastAsiaTheme="minorEastAsia" w:hAnsiTheme="minorEastAsia" w:cstheme="minorEastAsia" w:hint="eastAsia"/>
          <w:bCs/>
          <w:sz w:val="24"/>
          <w:szCs w:val="24"/>
        </w:rPr>
        <w:t>的方式</w:t>
      </w:r>
      <w:r>
        <w:rPr>
          <w:rFonts w:asciiTheme="minorEastAsia" w:eastAsiaTheme="minorEastAsia" w:hAnsiTheme="minorEastAsia" w:cstheme="minorEastAsia" w:hint="eastAsia"/>
          <w:bCs/>
          <w:sz w:val="24"/>
          <w:szCs w:val="24"/>
        </w:rPr>
        <w:t>，并</w:t>
      </w:r>
      <w:r w:rsidRPr="005F67EE">
        <w:rPr>
          <w:rFonts w:asciiTheme="minorEastAsia" w:eastAsiaTheme="minorEastAsia" w:hAnsiTheme="minorEastAsia" w:cstheme="minorEastAsia" w:hint="eastAsia"/>
          <w:bCs/>
          <w:sz w:val="24"/>
          <w:szCs w:val="24"/>
        </w:rPr>
        <w:t>逐一对问题进行了类型检测</w:t>
      </w:r>
      <w:r>
        <w:rPr>
          <w:rFonts w:asciiTheme="minorEastAsia" w:eastAsiaTheme="minorEastAsia" w:hAnsiTheme="minorEastAsia" w:cstheme="minorEastAsia" w:hint="eastAsia"/>
          <w:bCs/>
          <w:sz w:val="24"/>
          <w:szCs w:val="24"/>
        </w:rPr>
        <w:t>，如下：</w:t>
      </w:r>
    </w:p>
    <w:p w:rsidR="00704859" w:rsidRDefault="000C0681">
      <w:pPr>
        <w:jc w:val="center"/>
        <w:rPr>
          <w:rFonts w:ascii="华文楷体" w:eastAsia="华文楷体" w:hAnsi="华文楷体" w:cs="华文楷体"/>
          <w:sz w:val="24"/>
          <w:szCs w:val="24"/>
        </w:rPr>
      </w:pPr>
      <w:r>
        <w:rPr>
          <w:rFonts w:ascii="华文楷体" w:eastAsia="华文楷体" w:hAnsi="华文楷体" w:cs="华文楷体" w:hint="eastAsia"/>
          <w:sz w:val="24"/>
          <w:szCs w:val="24"/>
        </w:rPr>
        <w:t>表2：问题类型的分布情况</w:t>
      </w:r>
    </w:p>
    <w:p w:rsidR="00704859" w:rsidRDefault="00704859">
      <w:pPr>
        <w:rPr>
          <w:rFonts w:ascii="华文楷体" w:eastAsia="华文楷体" w:hAnsi="华文楷体" w:cs="华文楷体"/>
          <w:bCs/>
          <w:sz w:val="24"/>
          <w:szCs w:val="24"/>
        </w:rPr>
      </w:pPr>
    </w:p>
    <w:p w:rsidR="00704859" w:rsidRDefault="000C0681">
      <w:pPr>
        <w:rPr>
          <w:rFonts w:asciiTheme="minorEastAsia" w:hAnsiTheme="minorEastAsia" w:cstheme="minorEastAsia"/>
          <w:sz w:val="24"/>
          <w:szCs w:val="24"/>
        </w:rPr>
      </w:pPr>
      <w:r>
        <w:rPr>
          <w:rFonts w:ascii="华文楷体" w:eastAsia="华文楷体" w:hAnsi="华文楷体" w:cs="华文楷体" w:hint="eastAsia"/>
          <w:noProof/>
          <w:sz w:val="24"/>
          <w:szCs w:val="24"/>
        </w:rPr>
        <w:drawing>
          <wp:inline distT="0" distB="0" distL="0" distR="0">
            <wp:extent cx="4600575" cy="27622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600575" cy="2762250"/>
                    </a:xfrm>
                    <a:prstGeom prst="rect">
                      <a:avLst/>
                    </a:prstGeom>
                  </pic:spPr>
                </pic:pic>
              </a:graphicData>
            </a:graphic>
          </wp:inline>
        </w:drawing>
      </w:r>
    </w:p>
    <w:p w:rsidR="00704859" w:rsidRDefault="00704859">
      <w:pPr>
        <w:rPr>
          <w:rFonts w:asciiTheme="minorEastAsia" w:hAnsiTheme="minorEastAsia" w:cstheme="minorEastAsia"/>
          <w:sz w:val="24"/>
          <w:szCs w:val="24"/>
        </w:rPr>
      </w:pP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这样的检测使得课堂的批判性思维渗透就更加的直观与形象，也为今后批判性思维阅读的课堂教学设计提供了改进的依据。</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林清梅在引导学生个性化阅读策略的研究中，深入课堂实践，分别在</w:t>
      </w:r>
      <w:r w:rsidRPr="005F67EE">
        <w:rPr>
          <w:rFonts w:asciiTheme="minorEastAsia" w:eastAsiaTheme="minorEastAsia" w:hAnsiTheme="minorEastAsia" w:cstheme="minorEastAsia" w:hint="eastAsia"/>
          <w:bCs/>
          <w:sz w:val="24"/>
          <w:szCs w:val="24"/>
        </w:rPr>
        <w:t>《想别人没想到的》、《一个小村庄的故事》、《乞巧》等公开课阅读教学中引导学生大胆质疑，在尊重文本的基础上鼓励学生开放式的答案，力图走出传统课堂“循规蹈矩”</w:t>
      </w:r>
      <w:proofErr w:type="gramStart"/>
      <w:r w:rsidRPr="005F67EE">
        <w:rPr>
          <w:rFonts w:asciiTheme="minorEastAsia" w:eastAsiaTheme="minorEastAsia" w:hAnsiTheme="minorEastAsia" w:cstheme="minorEastAsia" w:hint="eastAsia"/>
          <w:bCs/>
          <w:sz w:val="24"/>
          <w:szCs w:val="24"/>
        </w:rPr>
        <w:t>死答案</w:t>
      </w:r>
      <w:proofErr w:type="gramEnd"/>
      <w:r w:rsidRPr="005F67EE">
        <w:rPr>
          <w:rFonts w:asciiTheme="minorEastAsia" w:eastAsiaTheme="minorEastAsia" w:hAnsiTheme="minorEastAsia" w:cstheme="minorEastAsia" w:hint="eastAsia"/>
          <w:bCs/>
          <w:sz w:val="24"/>
          <w:szCs w:val="24"/>
        </w:rPr>
        <w:t>的窠臼。在对文本的整合方面，林清</w:t>
      </w:r>
      <w:proofErr w:type="gramStart"/>
      <w:r w:rsidRPr="005F67EE">
        <w:rPr>
          <w:rFonts w:asciiTheme="minorEastAsia" w:eastAsiaTheme="minorEastAsia" w:hAnsiTheme="minorEastAsia" w:cstheme="minorEastAsia" w:hint="eastAsia"/>
          <w:bCs/>
          <w:sz w:val="24"/>
          <w:szCs w:val="24"/>
        </w:rPr>
        <w:t>梅引导</w:t>
      </w:r>
      <w:proofErr w:type="gramEnd"/>
      <w:r w:rsidRPr="005F67EE">
        <w:rPr>
          <w:rFonts w:asciiTheme="minorEastAsia" w:eastAsiaTheme="minorEastAsia" w:hAnsiTheme="minorEastAsia" w:cstheme="minorEastAsia" w:hint="eastAsia"/>
          <w:bCs/>
          <w:sz w:val="24"/>
          <w:szCs w:val="24"/>
        </w:rPr>
        <w:t>学生运用表格的形式进行整体思维。摘录如下：</w:t>
      </w:r>
    </w:p>
    <w:p w:rsidR="00704859" w:rsidRDefault="000C0681">
      <w:pPr>
        <w:spacing w:line="360" w:lineRule="auto"/>
        <w:ind w:firstLineChars="200" w:firstLine="480"/>
        <w:rPr>
          <w:rFonts w:ascii="华文楷体" w:eastAsia="华文楷体" w:hAnsi="华文楷体" w:cs="华文楷体"/>
          <w:kern w:val="0"/>
          <w:sz w:val="24"/>
          <w:szCs w:val="24"/>
        </w:rPr>
      </w:pPr>
      <w:r>
        <w:rPr>
          <w:rFonts w:ascii="华文楷体" w:eastAsia="华文楷体" w:hAnsi="华文楷体" w:cs="华文楷体" w:hint="eastAsia"/>
          <w:sz w:val="24"/>
          <w:szCs w:val="24"/>
        </w:rPr>
        <w:t>教学《想别人没想到的》一文，大家知道小徒弟的画最后获得画师的称赞，</w:t>
      </w:r>
      <w:r>
        <w:rPr>
          <w:rFonts w:ascii="华文楷体" w:eastAsia="华文楷体" w:hAnsi="华文楷体" w:cs="华文楷体" w:hint="eastAsia"/>
          <w:sz w:val="24"/>
          <w:szCs w:val="24"/>
        </w:rPr>
        <w:lastRenderedPageBreak/>
        <w:t>那为什么他的画能得到称赞呢？就要分析大徒弟、二徒弟的画。教师往往容易这样教学：“大徒弟画了什么？二徒弟又画了什么？请从课文中找出来，画下来。”这样未免把文本零散化，如果能在这里呈现一个表格，</w:t>
      </w:r>
      <w:r>
        <w:rPr>
          <w:rFonts w:ascii="华文楷体" w:eastAsia="华文楷体" w:hAnsi="华文楷体" w:cs="华文楷体" w:hint="eastAsia"/>
          <w:kern w:val="0"/>
          <w:sz w:val="24"/>
          <w:szCs w:val="24"/>
        </w:rPr>
        <w:t>把三个徒弟画的内容归纳整合起来，就很清楚明了，课文的层次脉络一目了然，很容易看出小徒弟赢的原因是想别人没想到的，然后顺势进行拓展，生活中还有没有这样的例子呢？把生活的经验也融入课堂，课内课外整体性。</w:t>
      </w:r>
    </w:p>
    <w:tbl>
      <w:tblPr>
        <w:tblStyle w:val="a3"/>
        <w:tblW w:w="8522" w:type="dxa"/>
        <w:tblLayout w:type="fixed"/>
        <w:tblLook w:val="04A0" w:firstRow="1" w:lastRow="0" w:firstColumn="1" w:lastColumn="0" w:noHBand="0" w:noVBand="1"/>
      </w:tblPr>
      <w:tblGrid>
        <w:gridCol w:w="2840"/>
        <w:gridCol w:w="2841"/>
        <w:gridCol w:w="2841"/>
      </w:tblGrid>
      <w:tr w:rsidR="00704859">
        <w:tc>
          <w:tcPr>
            <w:tcW w:w="2840" w:type="dxa"/>
          </w:tcPr>
          <w:p w:rsidR="00704859" w:rsidRDefault="00704859">
            <w:pPr>
              <w:spacing w:line="360" w:lineRule="auto"/>
              <w:rPr>
                <w:rFonts w:ascii="华文楷体" w:eastAsia="华文楷体" w:hAnsi="华文楷体" w:cs="华文楷体"/>
                <w:kern w:val="0"/>
                <w:sz w:val="24"/>
                <w:szCs w:val="24"/>
              </w:rPr>
            </w:pPr>
          </w:p>
        </w:tc>
        <w:tc>
          <w:tcPr>
            <w:tcW w:w="2841" w:type="dxa"/>
          </w:tcPr>
          <w:p w:rsidR="00704859" w:rsidRDefault="000C0681">
            <w:pPr>
              <w:spacing w:line="360" w:lineRule="auto"/>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画的内容</w:t>
            </w:r>
          </w:p>
        </w:tc>
        <w:tc>
          <w:tcPr>
            <w:tcW w:w="2841" w:type="dxa"/>
          </w:tcPr>
          <w:p w:rsidR="00704859" w:rsidRDefault="000C0681">
            <w:pPr>
              <w:spacing w:line="360" w:lineRule="auto"/>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师傅的看法</w:t>
            </w:r>
          </w:p>
        </w:tc>
      </w:tr>
      <w:tr w:rsidR="00704859">
        <w:tc>
          <w:tcPr>
            <w:tcW w:w="2840" w:type="dxa"/>
          </w:tcPr>
          <w:p w:rsidR="00704859" w:rsidRDefault="000C0681">
            <w:pPr>
              <w:spacing w:line="360" w:lineRule="auto"/>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大徒弟</w:t>
            </w:r>
          </w:p>
        </w:tc>
        <w:tc>
          <w:tcPr>
            <w:tcW w:w="2841" w:type="dxa"/>
          </w:tcPr>
          <w:p w:rsidR="00704859" w:rsidRDefault="00704859">
            <w:pPr>
              <w:spacing w:line="360" w:lineRule="auto"/>
              <w:rPr>
                <w:rFonts w:ascii="华文楷体" w:eastAsia="华文楷体" w:hAnsi="华文楷体" w:cs="华文楷体"/>
                <w:kern w:val="0"/>
                <w:sz w:val="24"/>
                <w:szCs w:val="24"/>
              </w:rPr>
            </w:pPr>
          </w:p>
        </w:tc>
        <w:tc>
          <w:tcPr>
            <w:tcW w:w="2841" w:type="dxa"/>
          </w:tcPr>
          <w:p w:rsidR="00704859" w:rsidRDefault="00704859">
            <w:pPr>
              <w:spacing w:line="360" w:lineRule="auto"/>
              <w:rPr>
                <w:rFonts w:ascii="华文楷体" w:eastAsia="华文楷体" w:hAnsi="华文楷体" w:cs="华文楷体"/>
                <w:kern w:val="0"/>
                <w:sz w:val="24"/>
                <w:szCs w:val="24"/>
              </w:rPr>
            </w:pPr>
          </w:p>
        </w:tc>
      </w:tr>
      <w:tr w:rsidR="00704859">
        <w:tc>
          <w:tcPr>
            <w:tcW w:w="2840" w:type="dxa"/>
          </w:tcPr>
          <w:p w:rsidR="00704859" w:rsidRDefault="000C0681">
            <w:pPr>
              <w:spacing w:line="360" w:lineRule="auto"/>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二徒弟</w:t>
            </w:r>
          </w:p>
        </w:tc>
        <w:tc>
          <w:tcPr>
            <w:tcW w:w="2841" w:type="dxa"/>
          </w:tcPr>
          <w:p w:rsidR="00704859" w:rsidRDefault="00704859">
            <w:pPr>
              <w:spacing w:line="360" w:lineRule="auto"/>
              <w:rPr>
                <w:rFonts w:ascii="华文楷体" w:eastAsia="华文楷体" w:hAnsi="华文楷体" w:cs="华文楷体"/>
                <w:kern w:val="0"/>
                <w:sz w:val="24"/>
                <w:szCs w:val="24"/>
              </w:rPr>
            </w:pPr>
          </w:p>
        </w:tc>
        <w:tc>
          <w:tcPr>
            <w:tcW w:w="2841" w:type="dxa"/>
          </w:tcPr>
          <w:p w:rsidR="00704859" w:rsidRDefault="00704859">
            <w:pPr>
              <w:spacing w:line="360" w:lineRule="auto"/>
              <w:rPr>
                <w:rFonts w:ascii="华文楷体" w:eastAsia="华文楷体" w:hAnsi="华文楷体" w:cs="华文楷体"/>
                <w:kern w:val="0"/>
                <w:sz w:val="24"/>
                <w:szCs w:val="24"/>
              </w:rPr>
            </w:pPr>
          </w:p>
        </w:tc>
      </w:tr>
      <w:tr w:rsidR="00704859">
        <w:tc>
          <w:tcPr>
            <w:tcW w:w="2840" w:type="dxa"/>
          </w:tcPr>
          <w:p w:rsidR="00704859" w:rsidRDefault="000C0681">
            <w:pPr>
              <w:spacing w:line="360" w:lineRule="auto"/>
              <w:rPr>
                <w:rFonts w:ascii="华文楷体" w:eastAsia="华文楷体" w:hAnsi="华文楷体" w:cs="华文楷体"/>
                <w:kern w:val="0"/>
                <w:sz w:val="24"/>
                <w:szCs w:val="24"/>
              </w:rPr>
            </w:pPr>
            <w:r>
              <w:rPr>
                <w:rFonts w:ascii="华文楷体" w:eastAsia="华文楷体" w:hAnsi="华文楷体" w:cs="华文楷体" w:hint="eastAsia"/>
                <w:kern w:val="0"/>
                <w:sz w:val="24"/>
                <w:szCs w:val="24"/>
              </w:rPr>
              <w:t>小徒弟</w:t>
            </w:r>
          </w:p>
        </w:tc>
        <w:tc>
          <w:tcPr>
            <w:tcW w:w="2841" w:type="dxa"/>
          </w:tcPr>
          <w:p w:rsidR="00704859" w:rsidRDefault="00704859">
            <w:pPr>
              <w:spacing w:line="360" w:lineRule="auto"/>
              <w:rPr>
                <w:rFonts w:ascii="华文楷体" w:eastAsia="华文楷体" w:hAnsi="华文楷体" w:cs="华文楷体"/>
                <w:kern w:val="0"/>
                <w:sz w:val="24"/>
                <w:szCs w:val="24"/>
              </w:rPr>
            </w:pPr>
          </w:p>
        </w:tc>
        <w:tc>
          <w:tcPr>
            <w:tcW w:w="2841" w:type="dxa"/>
          </w:tcPr>
          <w:p w:rsidR="00704859" w:rsidRDefault="00704859">
            <w:pPr>
              <w:spacing w:line="360" w:lineRule="auto"/>
              <w:rPr>
                <w:rFonts w:ascii="华文楷体" w:eastAsia="华文楷体" w:hAnsi="华文楷体" w:cs="华文楷体"/>
                <w:kern w:val="0"/>
                <w:sz w:val="24"/>
                <w:szCs w:val="24"/>
              </w:rPr>
            </w:pPr>
          </w:p>
        </w:tc>
      </w:tr>
    </w:tbl>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林清</w:t>
      </w:r>
      <w:proofErr w:type="gramStart"/>
      <w:r w:rsidRPr="005F67EE">
        <w:rPr>
          <w:rFonts w:asciiTheme="minorEastAsia" w:eastAsiaTheme="minorEastAsia" w:hAnsiTheme="minorEastAsia" w:cstheme="minorEastAsia" w:hint="eastAsia"/>
          <w:bCs/>
          <w:sz w:val="24"/>
          <w:szCs w:val="24"/>
        </w:rPr>
        <w:t>梅最终将课</w:t>
      </w:r>
      <w:proofErr w:type="gramEnd"/>
      <w:r w:rsidRPr="005F67EE">
        <w:rPr>
          <w:rFonts w:asciiTheme="minorEastAsia" w:eastAsiaTheme="minorEastAsia" w:hAnsiTheme="minorEastAsia" w:cstheme="minorEastAsia" w:hint="eastAsia"/>
          <w:bCs/>
          <w:sz w:val="24"/>
          <w:szCs w:val="24"/>
        </w:rPr>
        <w:t>例进行整合，形成了《批判性阅读教学在小学中段语文教学中的应用》论文，课题组成员在课堂中进行批判性思维的渗透意识很强，也能及时形成成果供探讨、借鉴，以便及时修正、运用。</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这一阶段，课题组成员形成了三节生成型课例，分别是林清梅的《乞巧》、《一个小村长的故事》，石晓珞的《一面五星红旗》，基本上解决了批判性思维阅读中有关学生个性化阅读策略、教师问题引导策略与批判性思维渗透的问题。课题组的一系列努力是否有效，有赖于学生的阅读测试（根据朱淑秀老师的建议，我们已将调查问卷改为阅读测试，以增强效度），我们正在收集与整理参加批判性阅读课堂的学生测试试卷与未参加学生的测试试卷，通过平衡被试学生的原始成绩来检验批判性思维阅读的效果。</w:t>
      </w:r>
    </w:p>
    <w:p w:rsidR="00704859" w:rsidRDefault="000C0681">
      <w:pPr>
        <w:pStyle w:val="1"/>
        <w:framePr w:wrap="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8"/>
          <w:szCs w:val="28"/>
        </w:rPr>
        <w:t>二、阶段性成果、主要创新点</w:t>
      </w:r>
    </w:p>
    <w:p w:rsidR="00704859" w:rsidRDefault="000C0681">
      <w:pPr>
        <w:pStyle w:val="1"/>
        <w:framePr w:wrap="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（一）阶段性成果</w:t>
      </w:r>
    </w:p>
    <w:tbl>
      <w:tblPr>
        <w:tblStyle w:val="a3"/>
        <w:tblW w:w="8296" w:type="dxa"/>
        <w:tblLayout w:type="fixed"/>
        <w:tblLook w:val="04A0" w:firstRow="1" w:lastRow="0" w:firstColumn="1" w:lastColumn="0" w:noHBand="0" w:noVBand="1"/>
      </w:tblPr>
      <w:tblGrid>
        <w:gridCol w:w="3286"/>
        <w:gridCol w:w="1200"/>
        <w:gridCol w:w="2025"/>
        <w:gridCol w:w="1785"/>
      </w:tblGrid>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成果名称</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作者</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成果形式</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时间</w:t>
            </w:r>
          </w:p>
        </w:tc>
      </w:tr>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《晓出净慈寺送林子方》</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石晓珞</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《片段教学》</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2018.04</w:t>
            </w:r>
          </w:p>
        </w:tc>
      </w:tr>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《乞巧》</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林清梅</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课例</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2018.05</w:t>
            </w:r>
          </w:p>
        </w:tc>
      </w:tr>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《一面五星红旗》</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石晓珞</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课例</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2018.05</w:t>
            </w:r>
          </w:p>
        </w:tc>
      </w:tr>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lastRenderedPageBreak/>
              <w:t>《一个小村庄的故事》</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林清梅</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课例</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2018.06</w:t>
            </w:r>
          </w:p>
        </w:tc>
      </w:tr>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《批判性阅读教学在小学中段语文教学中的应用》</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林清梅</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论文</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2018.07</w:t>
            </w:r>
          </w:p>
        </w:tc>
      </w:tr>
      <w:tr w:rsidR="00704859">
        <w:tc>
          <w:tcPr>
            <w:tcW w:w="328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《小学语文课堂提问与“思辨”思维方式渗透》</w:t>
            </w:r>
          </w:p>
        </w:tc>
        <w:tc>
          <w:tcPr>
            <w:tcW w:w="1200"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石晓珞</w:t>
            </w:r>
          </w:p>
        </w:tc>
        <w:tc>
          <w:tcPr>
            <w:tcW w:w="202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论文</w:t>
            </w:r>
          </w:p>
        </w:tc>
        <w:tc>
          <w:tcPr>
            <w:tcW w:w="1785"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2018.08</w:t>
            </w:r>
          </w:p>
        </w:tc>
      </w:tr>
    </w:tbl>
    <w:p w:rsidR="00704859" w:rsidRDefault="00704859">
      <w:pPr>
        <w:pStyle w:val="1"/>
        <w:framePr w:wrap="auto"/>
        <w:rPr>
          <w:rFonts w:asciiTheme="minorEastAsia" w:eastAsiaTheme="minorEastAsia" w:hAnsiTheme="minorEastAsia" w:cstheme="minorEastAsia"/>
          <w:sz w:val="24"/>
          <w:szCs w:val="24"/>
        </w:rPr>
      </w:pP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（二）主要创新点</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课题组成员整合了课堂提问的评判模式，依据模式能以此给其他教师提供批判性思维渗透的策略；批判性思维的渗透可以适应较为宽泛的课型，不仅只有记叙文的阅读课堂，甚至是古诗、散文等。</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三、存在的问题</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现阶段正在收集与整理的学生阅读测试卷的问题：如何选取测试前同一水平的学生？是否将一班学生中严重落后的学生进行排除，选取离散程度较低的学生？如何判断测试的试卷是否反映批判性思维的渗透情况，以何为参考标准的问题。</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四、下一步计划</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根据现阶段已完成内容，接下来我们将开展如下工作：1.制作关于“批判性阅读教学”微课；2.撰写“学生反思性阅读策略”的相关论文；3.学生批判性思维阅读学习的后期测试；4.开展“小学语文必短信阅读教学”主题讲座。</w:t>
      </w:r>
    </w:p>
    <w:p w:rsidR="00704859" w:rsidRDefault="000C0681">
      <w:pPr>
        <w:pStyle w:val="1"/>
        <w:framePr w:wrap="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8"/>
          <w:szCs w:val="28"/>
        </w:rPr>
        <w:t>五、可预期成果</w:t>
      </w:r>
    </w:p>
    <w:p w:rsidR="00704859" w:rsidRDefault="000C0681">
      <w:pPr>
        <w:pStyle w:val="1"/>
        <w:framePr w:wrap="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下阶段可预期成果：</w:t>
      </w:r>
    </w:p>
    <w:tbl>
      <w:tblPr>
        <w:tblStyle w:val="a3"/>
        <w:tblW w:w="8296" w:type="dxa"/>
        <w:tblLayout w:type="fixed"/>
        <w:tblLook w:val="04A0" w:firstRow="1" w:lastRow="0" w:firstColumn="1" w:lastColumn="0" w:noHBand="0" w:noVBand="1"/>
      </w:tblPr>
      <w:tblGrid>
        <w:gridCol w:w="2802"/>
        <w:gridCol w:w="1346"/>
        <w:gridCol w:w="2074"/>
        <w:gridCol w:w="2074"/>
      </w:tblGrid>
      <w:tr w:rsidR="00704859">
        <w:tc>
          <w:tcPr>
            <w:tcW w:w="2802"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成果名称</w:t>
            </w:r>
          </w:p>
        </w:tc>
        <w:tc>
          <w:tcPr>
            <w:tcW w:w="134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作者</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成果形式</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时间</w:t>
            </w:r>
          </w:p>
        </w:tc>
      </w:tr>
      <w:tr w:rsidR="00704859">
        <w:tc>
          <w:tcPr>
            <w:tcW w:w="2802"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反思性阅读策略与学生批判性思维能力的培养</w:t>
            </w:r>
          </w:p>
        </w:tc>
        <w:tc>
          <w:tcPr>
            <w:tcW w:w="134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石晓珞</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论文</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2018.11</w:t>
            </w:r>
          </w:p>
        </w:tc>
      </w:tr>
      <w:tr w:rsidR="00704859">
        <w:tc>
          <w:tcPr>
            <w:tcW w:w="2802"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批判性思维阅读教学</w:t>
            </w:r>
            <w:proofErr w:type="gramStart"/>
            <w:r>
              <w:rPr>
                <w:rFonts w:asciiTheme="minorEastAsia" w:hAnsiTheme="minorEastAsia" w:cstheme="minorEastAsia" w:hint="eastAsia"/>
                <w:sz w:val="24"/>
                <w:szCs w:val="24"/>
              </w:rPr>
              <w:t>片断微课</w:t>
            </w:r>
            <w:proofErr w:type="gramEnd"/>
          </w:p>
        </w:tc>
        <w:tc>
          <w:tcPr>
            <w:tcW w:w="134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林清梅</w:t>
            </w:r>
          </w:p>
        </w:tc>
        <w:tc>
          <w:tcPr>
            <w:tcW w:w="2074" w:type="dxa"/>
          </w:tcPr>
          <w:p w:rsidR="00704859" w:rsidRDefault="000C0681">
            <w:pPr>
              <w:spacing w:line="360" w:lineRule="auto"/>
              <w:rPr>
                <w:rFonts w:asciiTheme="minorEastAsia" w:hAnsiTheme="minorEastAsia" w:cstheme="minorEastAsia"/>
                <w:sz w:val="24"/>
                <w:szCs w:val="24"/>
              </w:rPr>
            </w:pPr>
            <w:proofErr w:type="gramStart"/>
            <w:r>
              <w:rPr>
                <w:rFonts w:asciiTheme="minorEastAsia" w:hAnsiTheme="minorEastAsia" w:cstheme="minorEastAsia" w:hint="eastAsia"/>
                <w:sz w:val="24"/>
                <w:szCs w:val="24"/>
              </w:rPr>
              <w:t>微课</w:t>
            </w:r>
            <w:proofErr w:type="gramEnd"/>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2018.11</w:t>
            </w:r>
          </w:p>
        </w:tc>
      </w:tr>
      <w:tr w:rsidR="00704859">
        <w:tc>
          <w:tcPr>
            <w:tcW w:w="2802"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批判性思维阅读教学的前后对比测试报告</w:t>
            </w:r>
          </w:p>
        </w:tc>
        <w:tc>
          <w:tcPr>
            <w:tcW w:w="134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课题组全体成员</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报告</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2018.12</w:t>
            </w:r>
          </w:p>
        </w:tc>
      </w:tr>
      <w:tr w:rsidR="00704859">
        <w:tc>
          <w:tcPr>
            <w:tcW w:w="2802"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小学语文批判性思维阅读教学策略</w:t>
            </w:r>
          </w:p>
        </w:tc>
        <w:tc>
          <w:tcPr>
            <w:tcW w:w="1346"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林清梅</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讲座</w:t>
            </w:r>
          </w:p>
        </w:tc>
        <w:tc>
          <w:tcPr>
            <w:tcW w:w="2074" w:type="dxa"/>
          </w:tcPr>
          <w:p w:rsidR="00704859" w:rsidRDefault="000C06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2018.12</w:t>
            </w:r>
          </w:p>
        </w:tc>
      </w:tr>
    </w:tbl>
    <w:p w:rsidR="00704859" w:rsidRDefault="00704859">
      <w:pPr>
        <w:pStyle w:val="1"/>
        <w:framePr w:wrap="auto"/>
        <w:rPr>
          <w:rFonts w:asciiTheme="minorEastAsia" w:eastAsiaTheme="minorEastAsia" w:hAnsiTheme="minorEastAsia" w:cstheme="minorEastAsia"/>
          <w:sz w:val="24"/>
          <w:szCs w:val="24"/>
        </w:rPr>
      </w:pPr>
    </w:p>
    <w:p w:rsidR="00704859" w:rsidRDefault="000C0681">
      <w:pPr>
        <w:pStyle w:val="1"/>
        <w:framePr w:wrap="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8"/>
          <w:szCs w:val="28"/>
        </w:rPr>
        <w:lastRenderedPageBreak/>
        <w:t>六、重要变更</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鉴于该课题为微型课题，且研究的落脚点要在具体的教学实践中，我们课题组将开题报告时三位专家给出的建议进行了如下梳理：</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w:t>
      </w:r>
      <w:r w:rsidRPr="005F67EE">
        <w:rPr>
          <w:rFonts w:asciiTheme="minorEastAsia" w:eastAsiaTheme="minorEastAsia" w:hAnsiTheme="minorEastAsia" w:cstheme="minorEastAsia" w:hint="eastAsia"/>
          <w:bCs/>
          <w:sz w:val="24"/>
          <w:szCs w:val="24"/>
        </w:rPr>
        <w:t>集美进修学校廖光华老师：</w:t>
      </w:r>
      <w:r>
        <w:rPr>
          <w:rFonts w:asciiTheme="minorEastAsia" w:eastAsiaTheme="minorEastAsia" w:hAnsiTheme="minorEastAsia" w:cstheme="minorEastAsia" w:hint="eastAsia"/>
          <w:bCs/>
          <w:sz w:val="24"/>
          <w:szCs w:val="24"/>
        </w:rPr>
        <w:t>1.以阅读素养为切入点，选题极具价值与意义；2.建立在对文本的解读之上：3.引导孩子批判性阅读的策略与方法，基于合理解读的意义建构；4.“拿来主义”，将注意力放在运用、实践上。</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（二）海</w:t>
      </w:r>
      <w:proofErr w:type="gramStart"/>
      <w:r w:rsidRPr="005F67EE">
        <w:rPr>
          <w:rFonts w:asciiTheme="minorEastAsia" w:eastAsiaTheme="minorEastAsia" w:hAnsiTheme="minorEastAsia" w:cstheme="minorEastAsia" w:hint="eastAsia"/>
          <w:bCs/>
          <w:sz w:val="24"/>
          <w:szCs w:val="24"/>
        </w:rPr>
        <w:t>沧</w:t>
      </w:r>
      <w:proofErr w:type="gramEnd"/>
      <w:r w:rsidRPr="005F67EE">
        <w:rPr>
          <w:rFonts w:asciiTheme="minorEastAsia" w:eastAsiaTheme="minorEastAsia" w:hAnsiTheme="minorEastAsia" w:cstheme="minorEastAsia" w:hint="eastAsia"/>
          <w:bCs/>
          <w:sz w:val="24"/>
          <w:szCs w:val="24"/>
        </w:rPr>
        <w:t>进修学校陈碧云老师：</w:t>
      </w:r>
      <w:r>
        <w:rPr>
          <w:rFonts w:asciiTheme="minorEastAsia" w:eastAsiaTheme="minorEastAsia" w:hAnsiTheme="minorEastAsia" w:cstheme="minorEastAsia" w:hint="eastAsia"/>
          <w:bCs/>
          <w:sz w:val="24"/>
          <w:szCs w:val="24"/>
        </w:rPr>
        <w:t>案例分析上升到具有普适性的高度</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sidRPr="005F67EE">
        <w:rPr>
          <w:rFonts w:asciiTheme="minorEastAsia" w:eastAsiaTheme="minorEastAsia" w:hAnsiTheme="minorEastAsia" w:cstheme="minorEastAsia" w:hint="eastAsia"/>
          <w:bCs/>
          <w:sz w:val="24"/>
          <w:szCs w:val="24"/>
        </w:rPr>
        <w:t>（三）湖里进修学校朱淑秀老师：</w:t>
      </w:r>
      <w:r>
        <w:rPr>
          <w:rFonts w:asciiTheme="minorEastAsia" w:eastAsiaTheme="minorEastAsia" w:hAnsiTheme="minorEastAsia" w:cstheme="minorEastAsia" w:hint="eastAsia"/>
          <w:bCs/>
          <w:sz w:val="24"/>
          <w:szCs w:val="24"/>
        </w:rPr>
        <w:t>1.针对问题进行研究，切入点很好，具有研究价值；2.总结出小学生批判性阅读行之有效的模式，批判性阅读问题引导策略研究；3.围绕所提出的三个问题提出策略——引导学生个性化引导策略、问题引导策略、反思性阅读策略</w:t>
      </w:r>
    </w:p>
    <w:p w:rsidR="00704859" w:rsidRPr="005F67EE" w:rsidRDefault="000C0681"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根据三位专家的建议，我们课题组进行了研究内容的调整，将注意力集中在小学语文批判性阅读教学的策略上，具体为以下四个方面：1.批判性思维在小学语文阅读教学中的渗透；2.引导学生个性化阅读策略的研究；3.批判性阅读教学中问题引导策略的研究；4.学生的反思型阅读教学策略研究。这样的调整更符合微型课题的实际，且更具操作性。</w:t>
      </w:r>
    </w:p>
    <w:p w:rsidR="00704859" w:rsidRPr="005F67EE" w:rsidRDefault="00704859" w:rsidP="005F67EE">
      <w:pPr>
        <w:pStyle w:val="1"/>
        <w:framePr w:wrap="auto"/>
        <w:spacing w:line="360" w:lineRule="auto"/>
        <w:ind w:firstLineChars="200" w:firstLine="480"/>
        <w:rPr>
          <w:rFonts w:asciiTheme="minorEastAsia" w:eastAsiaTheme="minorEastAsia" w:hAnsiTheme="minorEastAsia" w:cstheme="minorEastAsia"/>
          <w:bCs/>
          <w:sz w:val="24"/>
          <w:szCs w:val="24"/>
        </w:rPr>
      </w:pPr>
    </w:p>
    <w:p w:rsidR="00704859" w:rsidRPr="005F67EE" w:rsidRDefault="00704859" w:rsidP="005F67EE">
      <w:pPr>
        <w:pStyle w:val="1"/>
        <w:framePr w:wrap="auto"/>
        <w:spacing w:line="360" w:lineRule="auto"/>
        <w:ind w:firstLineChars="200" w:firstLine="480"/>
        <w:rPr>
          <w:rFonts w:asciiTheme="minorEastAsia" w:eastAsiaTheme="minorEastAsia" w:hAnsiTheme="minorEastAsia" w:cstheme="minorEastAsia"/>
          <w:bCs/>
          <w:sz w:val="24"/>
          <w:szCs w:val="24"/>
        </w:rPr>
      </w:pPr>
    </w:p>
    <w:p w:rsidR="00704859" w:rsidRPr="005F67EE" w:rsidRDefault="00C774DE" w:rsidP="005F67E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活动照片：</w:t>
      </w:r>
    </w:p>
    <w:p w:rsidR="00704859" w:rsidRPr="005F67EE" w:rsidRDefault="00C774DE" w:rsidP="00C774D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bCs/>
          <w:noProof/>
          <w:sz w:val="24"/>
          <w:szCs w:val="24"/>
        </w:rPr>
        <w:lastRenderedPageBreak/>
        <w:drawing>
          <wp:inline distT="0" distB="0" distL="0" distR="0">
            <wp:extent cx="5274310" cy="3955733"/>
            <wp:effectExtent l="0" t="0" r="2540" b="6985"/>
            <wp:docPr id="2" name="图片 2" descr="D:\林清梅\课题\林清梅 课题 过程性材料\中期过程性材料\20150523华东师范大学刘莉莉教授下校指导\PW`SUKX08NRWDB_TVIPCX7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林清梅\课题\林清梅 课题 过程性材料\中期过程性材料\20150523华东师范大学刘莉莉教授下校指导\PW`SUKX08NRWDB_TVIPCX7J.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704859" w:rsidRPr="005F67EE" w:rsidRDefault="00704859" w:rsidP="005F67EE">
      <w:pPr>
        <w:pStyle w:val="1"/>
        <w:framePr w:wrap="auto"/>
        <w:spacing w:line="360" w:lineRule="auto"/>
        <w:ind w:firstLineChars="200" w:firstLine="480"/>
        <w:rPr>
          <w:rFonts w:asciiTheme="minorEastAsia" w:eastAsiaTheme="minorEastAsia" w:hAnsiTheme="minorEastAsia" w:cstheme="minorEastAsia"/>
          <w:bCs/>
          <w:sz w:val="24"/>
          <w:szCs w:val="24"/>
        </w:rPr>
      </w:pPr>
    </w:p>
    <w:p w:rsidR="00704859" w:rsidRPr="005F67EE" w:rsidRDefault="00C774DE" w:rsidP="00C774D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bCs/>
          <w:noProof/>
          <w:sz w:val="24"/>
          <w:szCs w:val="24"/>
        </w:rPr>
        <w:drawing>
          <wp:inline distT="0" distB="0" distL="0" distR="0">
            <wp:extent cx="5274310" cy="3955733"/>
            <wp:effectExtent l="0" t="0" r="2540" b="6985"/>
            <wp:docPr id="3" name="图片 3" descr="D:\林清梅\课题\林清梅 课题 过程性材料\中期过程性材料\20150523华东师范大学刘莉莉教授下校指导\QQ图片20180523173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林清梅\课题\林清梅 课题 过程性材料\中期过程性材料\20150523华东师范大学刘莉莉教授下校指导\QQ图片201805231737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704859" w:rsidRPr="005F67EE" w:rsidRDefault="00C774DE" w:rsidP="00C774DE">
      <w:pPr>
        <w:pStyle w:val="1"/>
        <w:framePr w:wrap="auto"/>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bCs/>
          <w:noProof/>
          <w:sz w:val="24"/>
          <w:szCs w:val="24"/>
        </w:rPr>
        <w:lastRenderedPageBreak/>
        <w:drawing>
          <wp:inline distT="0" distB="0" distL="0" distR="0">
            <wp:extent cx="5274310" cy="3955733"/>
            <wp:effectExtent l="0" t="0" r="2540" b="6985"/>
            <wp:docPr id="4" name="图片 4" descr="D:\林清梅\课题\林清梅 课题 过程性材料\中期过程性材料\三个课例\林清梅 《乞巧》\照片\IMG_20180525_11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林清梅\课题\林清梅 课题 过程性材料\中期过程性材料\三个课例\林清梅 《乞巧》\照片\IMG_20180525_1101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Start w:id="0" w:name="_GoBack"/>
      <w:bookmarkEnd w:id="0"/>
    </w:p>
    <w:p w:rsidR="00704859" w:rsidRPr="005F67EE" w:rsidRDefault="00704859" w:rsidP="005F67EE">
      <w:pPr>
        <w:pStyle w:val="1"/>
        <w:framePr w:wrap="auto"/>
        <w:spacing w:line="360" w:lineRule="auto"/>
        <w:ind w:firstLineChars="200" w:firstLine="480"/>
        <w:rPr>
          <w:rFonts w:asciiTheme="minorEastAsia" w:eastAsiaTheme="minorEastAsia" w:hAnsiTheme="minorEastAsia" w:cstheme="minorEastAsia"/>
          <w:bCs/>
          <w:sz w:val="24"/>
          <w:szCs w:val="24"/>
        </w:rPr>
      </w:pPr>
    </w:p>
    <w:sectPr w:rsidR="00704859" w:rsidRPr="005F67E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31" w:rsidRDefault="008D7531" w:rsidP="005F67EE">
      <w:r>
        <w:separator/>
      </w:r>
    </w:p>
  </w:endnote>
  <w:endnote w:type="continuationSeparator" w:id="0">
    <w:p w:rsidR="008D7531" w:rsidRDefault="008D7531" w:rsidP="005F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E" w:rsidRDefault="005F67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E" w:rsidRDefault="005F67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E" w:rsidRDefault="005F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31" w:rsidRDefault="008D7531" w:rsidP="005F67EE">
      <w:r>
        <w:separator/>
      </w:r>
    </w:p>
  </w:footnote>
  <w:footnote w:type="continuationSeparator" w:id="0">
    <w:p w:rsidR="008D7531" w:rsidRDefault="008D7531" w:rsidP="005F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E" w:rsidRDefault="005F67E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E" w:rsidRDefault="005F67EE" w:rsidP="00C774D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EE" w:rsidRDefault="005F67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B3"/>
    <w:rsid w:val="00023FAE"/>
    <w:rsid w:val="00025377"/>
    <w:rsid w:val="00027383"/>
    <w:rsid w:val="00031548"/>
    <w:rsid w:val="0006440E"/>
    <w:rsid w:val="00094AE6"/>
    <w:rsid w:val="00097B9E"/>
    <w:rsid w:val="000A1B39"/>
    <w:rsid w:val="000C0681"/>
    <w:rsid w:val="000E09B3"/>
    <w:rsid w:val="0012416D"/>
    <w:rsid w:val="0015716A"/>
    <w:rsid w:val="00196B8E"/>
    <w:rsid w:val="001A74D9"/>
    <w:rsid w:val="001C148B"/>
    <w:rsid w:val="0020650E"/>
    <w:rsid w:val="00237FDB"/>
    <w:rsid w:val="002403F8"/>
    <w:rsid w:val="002461D7"/>
    <w:rsid w:val="00281FB4"/>
    <w:rsid w:val="00291D5A"/>
    <w:rsid w:val="002C5303"/>
    <w:rsid w:val="002D22A0"/>
    <w:rsid w:val="002D32B3"/>
    <w:rsid w:val="00323FA3"/>
    <w:rsid w:val="00343C74"/>
    <w:rsid w:val="00382EB4"/>
    <w:rsid w:val="003C2C00"/>
    <w:rsid w:val="003D769E"/>
    <w:rsid w:val="0040287E"/>
    <w:rsid w:val="00413231"/>
    <w:rsid w:val="00417996"/>
    <w:rsid w:val="0048282B"/>
    <w:rsid w:val="0049028F"/>
    <w:rsid w:val="004D6351"/>
    <w:rsid w:val="004E15FE"/>
    <w:rsid w:val="004E45E0"/>
    <w:rsid w:val="005463BE"/>
    <w:rsid w:val="005F67EE"/>
    <w:rsid w:val="00630CE6"/>
    <w:rsid w:val="006A02AA"/>
    <w:rsid w:val="006B56EA"/>
    <w:rsid w:val="006F01FB"/>
    <w:rsid w:val="007035A3"/>
    <w:rsid w:val="00704859"/>
    <w:rsid w:val="00737D32"/>
    <w:rsid w:val="00745592"/>
    <w:rsid w:val="00761546"/>
    <w:rsid w:val="0079791F"/>
    <w:rsid w:val="007A21C6"/>
    <w:rsid w:val="007B6AFF"/>
    <w:rsid w:val="007B7F95"/>
    <w:rsid w:val="007D7CF9"/>
    <w:rsid w:val="007F6692"/>
    <w:rsid w:val="00814C63"/>
    <w:rsid w:val="008169EB"/>
    <w:rsid w:val="008340EA"/>
    <w:rsid w:val="00872C10"/>
    <w:rsid w:val="008D7531"/>
    <w:rsid w:val="008E0B0D"/>
    <w:rsid w:val="008E64A1"/>
    <w:rsid w:val="00927158"/>
    <w:rsid w:val="00943E7A"/>
    <w:rsid w:val="00963DD7"/>
    <w:rsid w:val="0099291B"/>
    <w:rsid w:val="009A6E47"/>
    <w:rsid w:val="009B2F1A"/>
    <w:rsid w:val="009C450A"/>
    <w:rsid w:val="009E5360"/>
    <w:rsid w:val="00A00ED2"/>
    <w:rsid w:val="00A554EA"/>
    <w:rsid w:val="00A73A96"/>
    <w:rsid w:val="00A87B87"/>
    <w:rsid w:val="00AE4A6E"/>
    <w:rsid w:val="00B05668"/>
    <w:rsid w:val="00B27D12"/>
    <w:rsid w:val="00B37443"/>
    <w:rsid w:val="00B64F25"/>
    <w:rsid w:val="00B84D8E"/>
    <w:rsid w:val="00B85AE8"/>
    <w:rsid w:val="00BC2FCA"/>
    <w:rsid w:val="00C20516"/>
    <w:rsid w:val="00C774DE"/>
    <w:rsid w:val="00CD485A"/>
    <w:rsid w:val="00D00DE5"/>
    <w:rsid w:val="00D01EB7"/>
    <w:rsid w:val="00D30BB3"/>
    <w:rsid w:val="00D61941"/>
    <w:rsid w:val="00D834A7"/>
    <w:rsid w:val="00DD22E3"/>
    <w:rsid w:val="00E324D1"/>
    <w:rsid w:val="00F0764E"/>
    <w:rsid w:val="00F965F7"/>
    <w:rsid w:val="00FA62F0"/>
    <w:rsid w:val="00FC1471"/>
    <w:rsid w:val="010A2B0B"/>
    <w:rsid w:val="0AA20380"/>
    <w:rsid w:val="1BF41717"/>
    <w:rsid w:val="20AD72EC"/>
    <w:rsid w:val="2C9304D0"/>
    <w:rsid w:val="335E1860"/>
    <w:rsid w:val="3F5C405E"/>
    <w:rsid w:val="682B3793"/>
    <w:rsid w:val="71460EC4"/>
    <w:rsid w:val="764B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table" w:customStyle="1" w:styleId="PlainTable5">
    <w:name w:val="Plain Table 5"/>
    <w:basedOn w:val="a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
    <w:name w:val="正文1"/>
    <w:qFormat/>
    <w:pPr>
      <w:framePr w:wrap="around" w:hAnchor="text"/>
      <w:widowControl w:val="0"/>
      <w:jc w:val="both"/>
    </w:pPr>
    <w:rPr>
      <w:rFonts w:eastAsia="Arial Unicode MS" w:cs="Arial Unicode MS"/>
      <w:color w:val="000000"/>
      <w:kern w:val="2"/>
      <w:sz w:val="21"/>
      <w:szCs w:val="21"/>
      <w:u w:color="000000"/>
    </w:rPr>
  </w:style>
  <w:style w:type="paragraph" w:styleId="a5">
    <w:name w:val="header"/>
    <w:basedOn w:val="a"/>
    <w:link w:val="Char"/>
    <w:uiPriority w:val="99"/>
    <w:unhideWhenUsed/>
    <w:rsid w:val="005F6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67EE"/>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5F67EE"/>
    <w:pPr>
      <w:tabs>
        <w:tab w:val="center" w:pos="4153"/>
        <w:tab w:val="right" w:pos="8306"/>
      </w:tabs>
      <w:snapToGrid w:val="0"/>
      <w:jc w:val="left"/>
    </w:pPr>
    <w:rPr>
      <w:sz w:val="18"/>
      <w:szCs w:val="18"/>
    </w:rPr>
  </w:style>
  <w:style w:type="character" w:customStyle="1" w:styleId="Char0">
    <w:name w:val="页脚 Char"/>
    <w:basedOn w:val="a0"/>
    <w:link w:val="a6"/>
    <w:uiPriority w:val="99"/>
    <w:rsid w:val="005F67EE"/>
    <w:rPr>
      <w:rFonts w:asciiTheme="minorHAnsi" w:eastAsiaTheme="minorEastAsia" w:hAnsiTheme="minorHAnsi" w:cstheme="minorBidi"/>
      <w:kern w:val="2"/>
      <w:sz w:val="18"/>
      <w:szCs w:val="18"/>
    </w:rPr>
  </w:style>
  <w:style w:type="paragraph" w:styleId="a7">
    <w:name w:val="Balloon Text"/>
    <w:basedOn w:val="a"/>
    <w:link w:val="Char1"/>
    <w:uiPriority w:val="99"/>
    <w:semiHidden/>
    <w:unhideWhenUsed/>
    <w:rsid w:val="005F67EE"/>
    <w:rPr>
      <w:sz w:val="18"/>
      <w:szCs w:val="18"/>
    </w:rPr>
  </w:style>
  <w:style w:type="character" w:customStyle="1" w:styleId="Char1">
    <w:name w:val="批注框文本 Char"/>
    <w:basedOn w:val="a0"/>
    <w:link w:val="a7"/>
    <w:uiPriority w:val="99"/>
    <w:semiHidden/>
    <w:rsid w:val="005F67E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table" w:customStyle="1" w:styleId="PlainTable5">
    <w:name w:val="Plain Table 5"/>
    <w:basedOn w:val="a1"/>
    <w:uiPriority w:val="45"/>
    <w:qFormat/>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a1"/>
    <w:uiPriority w:val="43"/>
    <w:qFormat/>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qFormat/>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
    <w:name w:val="正文1"/>
    <w:qFormat/>
    <w:pPr>
      <w:framePr w:wrap="around" w:hAnchor="text"/>
      <w:widowControl w:val="0"/>
      <w:jc w:val="both"/>
    </w:pPr>
    <w:rPr>
      <w:rFonts w:eastAsia="Arial Unicode MS" w:cs="Arial Unicode MS"/>
      <w:color w:val="000000"/>
      <w:kern w:val="2"/>
      <w:sz w:val="21"/>
      <w:szCs w:val="21"/>
      <w:u w:color="000000"/>
    </w:rPr>
  </w:style>
  <w:style w:type="paragraph" w:styleId="a5">
    <w:name w:val="header"/>
    <w:basedOn w:val="a"/>
    <w:link w:val="Char"/>
    <w:uiPriority w:val="99"/>
    <w:unhideWhenUsed/>
    <w:rsid w:val="005F6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67EE"/>
    <w:rPr>
      <w:rFonts w:asciiTheme="minorHAnsi" w:eastAsiaTheme="minorEastAsia" w:hAnsiTheme="minorHAnsi" w:cstheme="minorBidi"/>
      <w:kern w:val="2"/>
      <w:sz w:val="18"/>
      <w:szCs w:val="18"/>
    </w:rPr>
  </w:style>
  <w:style w:type="paragraph" w:styleId="a6">
    <w:name w:val="footer"/>
    <w:basedOn w:val="a"/>
    <w:link w:val="Char0"/>
    <w:uiPriority w:val="99"/>
    <w:unhideWhenUsed/>
    <w:rsid w:val="005F67EE"/>
    <w:pPr>
      <w:tabs>
        <w:tab w:val="center" w:pos="4153"/>
        <w:tab w:val="right" w:pos="8306"/>
      </w:tabs>
      <w:snapToGrid w:val="0"/>
      <w:jc w:val="left"/>
    </w:pPr>
    <w:rPr>
      <w:sz w:val="18"/>
      <w:szCs w:val="18"/>
    </w:rPr>
  </w:style>
  <w:style w:type="character" w:customStyle="1" w:styleId="Char0">
    <w:name w:val="页脚 Char"/>
    <w:basedOn w:val="a0"/>
    <w:link w:val="a6"/>
    <w:uiPriority w:val="99"/>
    <w:rsid w:val="005F67EE"/>
    <w:rPr>
      <w:rFonts w:asciiTheme="minorHAnsi" w:eastAsiaTheme="minorEastAsia" w:hAnsiTheme="minorHAnsi" w:cstheme="minorBidi"/>
      <w:kern w:val="2"/>
      <w:sz w:val="18"/>
      <w:szCs w:val="18"/>
    </w:rPr>
  </w:style>
  <w:style w:type="paragraph" w:styleId="a7">
    <w:name w:val="Balloon Text"/>
    <w:basedOn w:val="a"/>
    <w:link w:val="Char1"/>
    <w:uiPriority w:val="99"/>
    <w:semiHidden/>
    <w:unhideWhenUsed/>
    <w:rsid w:val="005F67EE"/>
    <w:rPr>
      <w:sz w:val="18"/>
      <w:szCs w:val="18"/>
    </w:rPr>
  </w:style>
  <w:style w:type="character" w:customStyle="1" w:styleId="Char1">
    <w:name w:val="批注框文本 Char"/>
    <w:basedOn w:val="a0"/>
    <w:link w:val="a7"/>
    <w:uiPriority w:val="99"/>
    <w:semiHidden/>
    <w:rsid w:val="005F67E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495</Words>
  <Characters>2827</Characters>
  <Application>Microsoft Office Word</Application>
  <DocSecurity>0</DocSecurity>
  <Lines>23</Lines>
  <Paragraphs>6</Paragraphs>
  <ScaleCrop>false</ScaleCrop>
  <Company>china</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cp:lastModifiedBy>
  <cp:revision>2</cp:revision>
  <dcterms:created xsi:type="dcterms:W3CDTF">2018-11-20T01:46:00Z</dcterms:created>
  <dcterms:modified xsi:type="dcterms:W3CDTF">2018-11-20T01:46:00Z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