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b/>
          <w:bCs/>
          <w:kern w:val="0"/>
          <w:sz w:val="36"/>
          <w:szCs w:val="24"/>
        </w:rPr>
      </w:pPr>
      <w:r>
        <w:rPr>
          <w:rFonts w:hint="eastAsia" w:ascii="华文中宋" w:hAnsi="华文中宋" w:eastAsia="华文中宋" w:cs="华文中宋"/>
          <w:b/>
          <w:bCs/>
          <w:kern w:val="0"/>
          <w:sz w:val="32"/>
          <w:szCs w:val="24"/>
        </w:rPr>
        <w:t>“国培计划（2016）”——</w:t>
      </w:r>
      <w:r>
        <w:rPr>
          <w:rFonts w:hint="eastAsia" w:ascii="华文中宋" w:hAnsi="华文中宋" w:eastAsia="华文中宋" w:cs="华文中宋"/>
          <w:b/>
          <w:bCs/>
          <w:kern w:val="0"/>
          <w:sz w:val="36"/>
          <w:szCs w:val="24"/>
        </w:rPr>
        <w:t>四川师范大学送教下乡</w:t>
      </w:r>
    </w:p>
    <w:p>
      <w:pPr>
        <w:jc w:val="center"/>
        <w:rPr>
          <w:rFonts w:ascii="仿宋" w:hAnsi="仿宋" w:eastAsia="仿宋" w:cs="仿宋"/>
          <w:b/>
          <w:sz w:val="32"/>
          <w:szCs w:val="28"/>
        </w:rPr>
      </w:pPr>
      <w:r>
        <w:rPr>
          <w:rFonts w:hint="eastAsia" w:ascii="华文中宋" w:hAnsi="华文中宋" w:eastAsia="华文中宋" w:cs="华文中宋"/>
          <w:b/>
          <w:bCs/>
          <w:kern w:val="0"/>
          <w:sz w:val="36"/>
          <w:szCs w:val="24"/>
        </w:rPr>
        <w:t>网络研修项目</w:t>
      </w:r>
      <w:r>
        <w:rPr>
          <w:rFonts w:hint="eastAsia" w:ascii="华文中宋" w:hAnsi="华文中宋" w:eastAsia="华文中宋" w:cs="华文中宋"/>
          <w:b/>
          <w:bCs/>
          <w:kern w:val="0"/>
          <w:sz w:val="36"/>
          <w:szCs w:val="24"/>
          <w:lang w:eastAsia="zh-CN"/>
        </w:rPr>
        <w:t>考核</w:t>
      </w:r>
      <w:r>
        <w:rPr>
          <w:rFonts w:hint="eastAsia" w:ascii="华文中宋" w:hAnsi="华文中宋" w:eastAsia="华文中宋" w:cs="华文中宋"/>
          <w:b/>
          <w:bCs/>
          <w:kern w:val="0"/>
          <w:sz w:val="36"/>
          <w:szCs w:val="24"/>
        </w:rPr>
        <w:t>方案</w:t>
      </w:r>
    </w:p>
    <w:p>
      <w:pPr>
        <w:spacing w:before="48" w:after="48" w:line="360" w:lineRule="auto"/>
        <w:ind w:firstLine="361" w:firstLineChars="150"/>
        <w:rPr>
          <w:rFonts w:ascii="宋体" w:hAnsi="宋体" w:cs="仿宋_GB2312"/>
          <w:b/>
          <w:sz w:val="24"/>
        </w:rPr>
      </w:pPr>
      <w:r>
        <w:rPr>
          <w:rFonts w:hint="eastAsia" w:ascii="宋体" w:hAnsi="宋体" w:cs="仿宋_GB2312"/>
          <w:b/>
          <w:sz w:val="24"/>
          <w:lang w:val="en-US" w:eastAsia="zh-CN"/>
        </w:rPr>
        <w:t>1.</w:t>
      </w:r>
      <w:r>
        <w:rPr>
          <w:rFonts w:hint="eastAsia" w:ascii="宋体" w:hAnsi="宋体" w:cs="仿宋_GB2312"/>
          <w:b/>
          <w:sz w:val="24"/>
        </w:rPr>
        <w:t>对研修学员的过程性</w:t>
      </w:r>
      <w:r>
        <w:rPr>
          <w:rFonts w:hint="eastAsia" w:ascii="宋体" w:hAnsi="宋体" w:cs="仿宋_GB2312"/>
          <w:b/>
          <w:sz w:val="24"/>
          <w:lang w:eastAsia="zh-CN"/>
        </w:rPr>
        <w:t>考核</w:t>
      </w:r>
    </w:p>
    <w:p>
      <w:pPr>
        <w:spacing w:before="48" w:after="48" w:line="360" w:lineRule="auto"/>
        <w:ind w:firstLine="480" w:firstLineChars="200"/>
        <w:rPr>
          <w:rFonts w:hint="eastAsia" w:ascii="宋体" w:hAnsi="宋体"/>
          <w:sz w:val="24"/>
        </w:rPr>
      </w:pPr>
      <w:r>
        <w:rPr>
          <w:rFonts w:hint="eastAsia" w:ascii="宋体" w:hAnsi="宋体" w:cs="仿宋_GB2312"/>
          <w:sz w:val="24"/>
        </w:rPr>
        <w:t>项目管理员经与项目专家讨论后确认本项目的研修考核方案，并在项目相关课程里设置相应的培训指标。研修班级辅导老师对班级内学员提交的研修作业进行评审，合格者计入学员的培训进度。当学员的培训进度满足项目设定的合格指标值，</w:t>
      </w:r>
      <w:r>
        <w:rPr>
          <w:rFonts w:hint="eastAsia" w:ascii="宋体" w:hAnsi="宋体" w:cs="仿宋_GB2312"/>
          <w:b/>
          <w:bCs/>
          <w:sz w:val="24"/>
        </w:rPr>
        <w:t>即</w:t>
      </w:r>
      <w:r>
        <w:rPr>
          <w:rFonts w:hint="eastAsia" w:ascii="宋体" w:hAnsi="宋体" w:cs="仿宋_GB2312"/>
          <w:b/>
          <w:bCs/>
          <w:sz w:val="24"/>
          <w:lang w:eastAsia="zh-CN"/>
        </w:rPr>
        <w:t>总</w:t>
      </w:r>
      <w:r>
        <w:rPr>
          <w:rFonts w:hint="eastAsia" w:ascii="宋体" w:hAnsi="宋体"/>
          <w:b/>
          <w:bCs/>
          <w:sz w:val="24"/>
        </w:rPr>
        <w:t>考核</w:t>
      </w:r>
      <w:r>
        <w:rPr>
          <w:rFonts w:hint="eastAsia" w:ascii="宋体" w:hAnsi="宋体"/>
          <w:b/>
          <w:bCs/>
          <w:sz w:val="24"/>
          <w:lang w:eastAsia="zh-CN"/>
        </w:rPr>
        <w:t>成绩</w:t>
      </w:r>
      <w:r>
        <w:rPr>
          <w:rFonts w:hint="eastAsia" w:ascii="宋体" w:hAnsi="宋体"/>
          <w:b/>
          <w:bCs/>
          <w:sz w:val="24"/>
        </w:rPr>
        <w:t>达到80分，则视为合格</w:t>
      </w:r>
      <w:r>
        <w:rPr>
          <w:rFonts w:hint="eastAsia" w:ascii="宋体" w:hAnsi="宋体"/>
          <w:b/>
          <w:bCs/>
          <w:sz w:val="24"/>
          <w:lang w:eastAsia="zh-CN"/>
        </w:rPr>
        <w:t>，总考核成绩达到</w:t>
      </w:r>
      <w:r>
        <w:rPr>
          <w:rFonts w:hint="eastAsia" w:ascii="宋体" w:hAnsi="宋体"/>
          <w:b/>
          <w:bCs/>
          <w:sz w:val="24"/>
          <w:lang w:val="en-US" w:eastAsia="zh-CN"/>
        </w:rPr>
        <w:t>90分，</w:t>
      </w:r>
      <w:r>
        <w:rPr>
          <w:rFonts w:hint="eastAsia" w:ascii="宋体" w:hAnsi="宋体"/>
          <w:b/>
          <w:bCs/>
          <w:sz w:val="24"/>
        </w:rPr>
        <w:t>则</w:t>
      </w:r>
      <w:r>
        <w:rPr>
          <w:rFonts w:hint="eastAsia" w:ascii="宋体" w:hAnsi="宋体"/>
          <w:b/>
          <w:bCs/>
          <w:sz w:val="24"/>
          <w:lang w:eastAsia="zh-CN"/>
        </w:rPr>
        <w:t>有资格参与评优</w:t>
      </w:r>
      <w:r>
        <w:rPr>
          <w:rFonts w:hint="eastAsia" w:ascii="宋体" w:hAnsi="宋体"/>
          <w:b/>
          <w:bCs/>
          <w:sz w:val="24"/>
        </w:rPr>
        <w:t>。</w:t>
      </w:r>
      <w:r>
        <w:rPr>
          <w:rFonts w:hint="eastAsia" w:ascii="仿宋_GB2312" w:hAnsi="仿宋_GB2312" w:eastAsia="仿宋_GB2312" w:cs="仿宋_GB2312"/>
          <w:sz w:val="24"/>
        </w:rPr>
        <w:t>（提示：课程学习时间未达到满分同样视为不合格）</w:t>
      </w:r>
    </w:p>
    <w:tbl>
      <w:tblPr>
        <w:tblStyle w:val="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281"/>
        <w:gridCol w:w="456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gridSpan w:val="2"/>
            <w:vAlign w:val="center"/>
          </w:tcPr>
          <w:p>
            <w:pPr>
              <w:spacing w:before="48" w:after="48"/>
              <w:jc w:val="center"/>
              <w:rPr>
                <w:rFonts w:ascii="仿宋_GB2312" w:hAnsi="仿宋" w:eastAsia="仿宋_GB2312"/>
                <w:b/>
                <w:color w:val="000000"/>
                <w:szCs w:val="21"/>
              </w:rPr>
            </w:pPr>
            <w:r>
              <w:rPr>
                <w:rFonts w:hint="eastAsia" w:ascii="仿宋_GB2312" w:hAnsi="仿宋" w:eastAsia="仿宋_GB2312"/>
                <w:b/>
                <w:color w:val="000000"/>
                <w:szCs w:val="21"/>
              </w:rPr>
              <w:t>评价指标</w:t>
            </w:r>
          </w:p>
        </w:tc>
        <w:tc>
          <w:tcPr>
            <w:tcW w:w="4564" w:type="dxa"/>
            <w:vAlign w:val="center"/>
          </w:tcPr>
          <w:p>
            <w:pPr>
              <w:spacing w:before="48" w:after="48"/>
              <w:jc w:val="center"/>
              <w:rPr>
                <w:rFonts w:ascii="仿宋_GB2312" w:hAnsi="仿宋" w:eastAsia="仿宋_GB2312"/>
                <w:b/>
                <w:color w:val="000000"/>
                <w:szCs w:val="21"/>
              </w:rPr>
            </w:pPr>
            <w:r>
              <w:rPr>
                <w:rFonts w:hint="eastAsia" w:ascii="仿宋_GB2312" w:hAnsi="仿宋" w:eastAsia="仿宋_GB2312"/>
                <w:b/>
                <w:color w:val="000000"/>
                <w:szCs w:val="21"/>
              </w:rPr>
              <w:t>评价结果的应用方式</w:t>
            </w:r>
          </w:p>
        </w:tc>
        <w:tc>
          <w:tcPr>
            <w:tcW w:w="1843" w:type="dxa"/>
            <w:vAlign w:val="center"/>
          </w:tcPr>
          <w:p>
            <w:pPr>
              <w:spacing w:before="48" w:after="48"/>
              <w:jc w:val="center"/>
              <w:rPr>
                <w:rFonts w:ascii="仿宋_GB2312" w:hAnsi="仿宋" w:eastAsia="仿宋_GB2312"/>
                <w:b/>
                <w:color w:val="000000"/>
                <w:szCs w:val="21"/>
              </w:rPr>
            </w:pPr>
            <w:r>
              <w:rPr>
                <w:rFonts w:hint="eastAsia" w:ascii="仿宋_GB2312" w:hAnsi="仿宋" w:eastAsia="仿宋_GB2312"/>
                <w:b/>
                <w:color w:val="000000"/>
                <w:szCs w:val="21"/>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Merge w:val="restart"/>
            <w:vAlign w:val="center"/>
          </w:tcPr>
          <w:p>
            <w:pPr>
              <w:spacing w:before="48" w:after="48"/>
              <w:jc w:val="center"/>
              <w:rPr>
                <w:rFonts w:ascii="仿宋_GB2312" w:hAnsi="仿宋" w:eastAsia="仿宋_GB2312"/>
                <w:color w:val="000000"/>
                <w:szCs w:val="21"/>
              </w:rPr>
            </w:pPr>
            <w:r>
              <w:rPr>
                <w:rFonts w:hint="eastAsia" w:ascii="仿宋_GB2312" w:hAnsi="仿宋" w:eastAsia="仿宋_GB2312"/>
                <w:color w:val="000000"/>
                <w:szCs w:val="21"/>
              </w:rPr>
              <w:t>线</w:t>
            </w:r>
            <w:r>
              <w:rPr>
                <w:rFonts w:ascii="仿宋_GB2312" w:hAnsi="仿宋" w:eastAsia="仿宋_GB2312"/>
                <w:color w:val="000000"/>
                <w:szCs w:val="21"/>
              </w:rPr>
              <w:t>上网络研修</w:t>
            </w:r>
          </w:p>
        </w:tc>
        <w:tc>
          <w:tcPr>
            <w:tcW w:w="1281" w:type="dxa"/>
            <w:vAlign w:val="center"/>
          </w:tcPr>
          <w:p>
            <w:pPr>
              <w:spacing w:before="48" w:after="48"/>
              <w:jc w:val="center"/>
              <w:rPr>
                <w:rFonts w:ascii="仿宋_GB2312" w:hAnsi="仿宋" w:eastAsia="仿宋_GB2312"/>
                <w:color w:val="000000"/>
                <w:szCs w:val="21"/>
              </w:rPr>
            </w:pPr>
            <w:r>
              <w:rPr>
                <w:rFonts w:hint="eastAsia" w:ascii="仿宋" w:hAnsi="仿宋" w:eastAsia="仿宋"/>
                <w:color w:val="000000"/>
                <w:sz w:val="24"/>
                <w:szCs w:val="24"/>
              </w:rPr>
              <w:t>资源分享</w:t>
            </w:r>
          </w:p>
        </w:tc>
        <w:tc>
          <w:tcPr>
            <w:tcW w:w="4564" w:type="dxa"/>
          </w:tcPr>
          <w:p>
            <w:pPr>
              <w:spacing w:before="48" w:after="48"/>
              <w:rPr>
                <w:rFonts w:ascii="仿宋_GB2312" w:hAnsi="仿宋" w:eastAsia="仿宋_GB2312"/>
                <w:color w:val="000000"/>
                <w:szCs w:val="21"/>
              </w:rPr>
            </w:pPr>
            <w:r>
              <w:rPr>
                <w:rFonts w:hint="eastAsia" w:ascii="仿宋_GB2312" w:hAnsi="仿宋" w:eastAsia="仿宋_GB2312"/>
                <w:color w:val="000000"/>
                <w:szCs w:val="21"/>
              </w:rPr>
              <w:t>上传分享实际教育教学中生成的课件、教案、说课稿、备课稿、教学设计、测试题等有价值的教学资源不低于2篇，每分享1篇得5分，总分10分。</w:t>
            </w:r>
          </w:p>
        </w:tc>
        <w:tc>
          <w:tcPr>
            <w:tcW w:w="1843"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Merge w:val="continue"/>
            <w:vAlign w:val="center"/>
          </w:tcPr>
          <w:p>
            <w:pPr>
              <w:spacing w:before="48" w:after="48"/>
              <w:jc w:val="center"/>
              <w:rPr>
                <w:rFonts w:ascii="仿宋_GB2312" w:hAnsi="仿宋" w:eastAsia="仿宋_GB2312"/>
                <w:color w:val="000000"/>
                <w:szCs w:val="21"/>
              </w:rPr>
            </w:pPr>
          </w:p>
        </w:tc>
        <w:tc>
          <w:tcPr>
            <w:tcW w:w="1281" w:type="dxa"/>
            <w:vAlign w:val="center"/>
          </w:tcPr>
          <w:p>
            <w:pPr>
              <w:spacing w:before="48" w:after="48"/>
              <w:jc w:val="center"/>
              <w:rPr>
                <w:rFonts w:ascii="仿宋_GB2312" w:hAnsi="仿宋" w:eastAsia="仿宋_GB2312"/>
                <w:color w:val="000000"/>
                <w:szCs w:val="21"/>
              </w:rPr>
            </w:pPr>
            <w:r>
              <w:rPr>
                <w:rFonts w:hint="eastAsia" w:ascii="仿宋_GB2312" w:hAnsi="仿宋" w:eastAsia="仿宋_GB2312"/>
                <w:color w:val="000000"/>
                <w:szCs w:val="21"/>
              </w:rPr>
              <w:t>课程学习</w:t>
            </w:r>
          </w:p>
        </w:tc>
        <w:tc>
          <w:tcPr>
            <w:tcW w:w="4564" w:type="dxa"/>
          </w:tcPr>
          <w:p>
            <w:pPr>
              <w:spacing w:before="48" w:after="48"/>
              <w:rPr>
                <w:rFonts w:ascii="仿宋_GB2312" w:hAnsi="仿宋" w:eastAsia="仿宋_GB2312"/>
                <w:color w:val="000000"/>
                <w:szCs w:val="21"/>
              </w:rPr>
            </w:pPr>
            <w:r>
              <w:rPr>
                <w:rFonts w:hint="eastAsia" w:ascii="仿宋_GB2312" w:hAnsi="仿宋" w:eastAsia="仿宋_GB2312"/>
                <w:color w:val="000000"/>
                <w:szCs w:val="21"/>
              </w:rPr>
              <w:t>根据培训要求，学员需要选修够70学时的课程并完成学习。学习时间不低于</w:t>
            </w:r>
            <w:r>
              <w:rPr>
                <w:rFonts w:hint="eastAsia" w:ascii="仿宋_GB2312" w:hAnsi="仿宋" w:eastAsia="仿宋_GB2312"/>
                <w:color w:val="000000"/>
                <w:szCs w:val="21"/>
                <w:lang w:val="en-US" w:eastAsia="zh-CN"/>
              </w:rPr>
              <w:t>700</w:t>
            </w:r>
            <w:r>
              <w:rPr>
                <w:rFonts w:hint="eastAsia" w:ascii="仿宋_GB2312" w:hAnsi="仿宋" w:eastAsia="仿宋_GB2312"/>
                <w:color w:val="000000"/>
                <w:szCs w:val="21"/>
              </w:rPr>
              <w:t>分钟。累计学习时间大于等于</w:t>
            </w:r>
            <w:r>
              <w:rPr>
                <w:rFonts w:hint="eastAsia" w:ascii="仿宋_GB2312" w:hAnsi="仿宋" w:eastAsia="仿宋_GB2312"/>
                <w:color w:val="000000"/>
                <w:szCs w:val="21"/>
                <w:lang w:val="en-US" w:eastAsia="zh-CN"/>
              </w:rPr>
              <w:t>700</w:t>
            </w:r>
            <w:r>
              <w:rPr>
                <w:rFonts w:hint="eastAsia" w:ascii="仿宋_GB2312" w:hAnsi="仿宋" w:eastAsia="仿宋_GB2312"/>
                <w:color w:val="000000"/>
                <w:szCs w:val="21"/>
              </w:rPr>
              <w:t>分钟，满分30分。若实际学习时间小于</w:t>
            </w:r>
            <w:r>
              <w:rPr>
                <w:rFonts w:hint="eastAsia" w:ascii="仿宋_GB2312" w:hAnsi="仿宋" w:eastAsia="仿宋_GB2312"/>
                <w:color w:val="000000"/>
                <w:szCs w:val="21"/>
                <w:lang w:val="en-US" w:eastAsia="zh-CN"/>
              </w:rPr>
              <w:t>700</w:t>
            </w:r>
            <w:r>
              <w:rPr>
                <w:rFonts w:hint="eastAsia" w:ascii="仿宋_GB2312" w:hAnsi="仿宋" w:eastAsia="仿宋_GB2312"/>
                <w:color w:val="000000"/>
                <w:szCs w:val="21"/>
              </w:rPr>
              <w:t>分钟则此项考核成绩=实际学习时间/</w:t>
            </w:r>
            <w:r>
              <w:rPr>
                <w:rFonts w:hint="eastAsia" w:ascii="仿宋_GB2312" w:hAnsi="仿宋" w:eastAsia="仿宋_GB2312"/>
                <w:color w:val="000000"/>
                <w:szCs w:val="21"/>
                <w:lang w:val="en-US" w:eastAsia="zh-CN"/>
              </w:rPr>
              <w:t>700</w:t>
            </w:r>
            <w:r>
              <w:rPr>
                <w:rFonts w:hint="eastAsia" w:ascii="仿宋_GB2312" w:hAnsi="仿宋" w:eastAsia="仿宋_GB2312"/>
                <w:color w:val="000000"/>
                <w:szCs w:val="21"/>
              </w:rPr>
              <w:t>（分钟）×30分。</w:t>
            </w:r>
          </w:p>
        </w:tc>
        <w:tc>
          <w:tcPr>
            <w:tcW w:w="1843"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500" w:type="dxa"/>
            <w:vMerge w:val="continue"/>
          </w:tcPr>
          <w:p>
            <w:pPr>
              <w:spacing w:before="48" w:after="48"/>
              <w:rPr>
                <w:rFonts w:ascii="仿宋_GB2312" w:hAnsi="仿宋" w:eastAsia="仿宋_GB2312"/>
                <w:color w:val="000000"/>
                <w:szCs w:val="21"/>
              </w:rPr>
            </w:pPr>
          </w:p>
        </w:tc>
        <w:tc>
          <w:tcPr>
            <w:tcW w:w="1281" w:type="dxa"/>
            <w:vAlign w:val="center"/>
          </w:tcPr>
          <w:p>
            <w:pPr>
              <w:spacing w:before="48" w:after="48"/>
              <w:jc w:val="center"/>
              <w:rPr>
                <w:rFonts w:ascii="仿宋_GB2312" w:hAnsi="仿宋" w:eastAsia="仿宋_GB2312"/>
                <w:color w:val="000000"/>
                <w:szCs w:val="21"/>
              </w:rPr>
            </w:pPr>
            <w:r>
              <w:rPr>
                <w:rFonts w:hint="eastAsia" w:ascii="仿宋_GB2312" w:hAnsi="仿宋" w:eastAsia="仿宋_GB2312"/>
                <w:color w:val="000000"/>
                <w:szCs w:val="21"/>
              </w:rPr>
              <w:t>研修作业</w:t>
            </w:r>
          </w:p>
        </w:tc>
        <w:tc>
          <w:tcPr>
            <w:tcW w:w="4564" w:type="dxa"/>
          </w:tcPr>
          <w:p>
            <w:pPr>
              <w:spacing w:before="48" w:after="48"/>
              <w:rPr>
                <w:rFonts w:ascii="仿宋_GB2312" w:hAnsi="仿宋" w:eastAsia="仿宋_GB2312"/>
                <w:color w:val="000000"/>
                <w:szCs w:val="21"/>
              </w:rPr>
            </w:pPr>
            <w:r>
              <w:rPr>
                <w:rFonts w:hint="eastAsia" w:ascii="仿宋_GB2312" w:hAnsi="仿宋" w:eastAsia="仿宋_GB2312"/>
                <w:color w:val="000000"/>
                <w:szCs w:val="21"/>
              </w:rPr>
              <w:t>根据培训任务要求，完成</w:t>
            </w:r>
            <w:r>
              <w:rPr>
                <w:rFonts w:hint="eastAsia" w:ascii="仿宋_GB2312" w:hAnsi="仿宋" w:eastAsia="仿宋_GB2312"/>
                <w:color w:val="000000"/>
                <w:szCs w:val="21"/>
                <w:lang w:val="en-US" w:eastAsia="zh-CN"/>
              </w:rPr>
              <w:t>2</w:t>
            </w:r>
            <w:r>
              <w:rPr>
                <w:rFonts w:hint="eastAsia" w:ascii="仿宋_GB2312" w:hAnsi="仿宋" w:eastAsia="仿宋_GB2312"/>
                <w:color w:val="000000"/>
                <w:szCs w:val="21"/>
              </w:rPr>
              <w:t>次作业，按要求提交相应的作业，</w:t>
            </w:r>
            <w:r>
              <w:rPr>
                <w:rFonts w:hint="eastAsia" w:ascii="仿宋_GB2312" w:hAnsi="仿宋" w:eastAsia="仿宋_GB2312"/>
                <w:color w:val="000000"/>
                <w:szCs w:val="21"/>
                <w:lang w:eastAsia="zh-CN"/>
              </w:rPr>
              <w:t>提交</w:t>
            </w:r>
            <w:r>
              <w:rPr>
                <w:rFonts w:hint="eastAsia" w:ascii="仿宋_GB2312" w:hAnsi="仿宋" w:eastAsia="仿宋_GB2312"/>
                <w:color w:val="000000"/>
                <w:szCs w:val="21"/>
                <w:lang w:val="en-US" w:eastAsia="zh-CN"/>
              </w:rPr>
              <w:t>1篇得7分，</w:t>
            </w:r>
            <w:r>
              <w:rPr>
                <w:rFonts w:hint="eastAsia" w:ascii="仿宋_GB2312" w:hAnsi="仿宋" w:eastAsia="仿宋_GB2312"/>
                <w:color w:val="000000"/>
                <w:szCs w:val="21"/>
                <w:lang w:eastAsia="zh-CN"/>
              </w:rPr>
              <w:t>每一篇</w:t>
            </w:r>
            <w:r>
              <w:rPr>
                <w:rFonts w:hint="eastAsia" w:ascii="仿宋_GB2312" w:hAnsi="仿宋" w:eastAsia="仿宋_GB2312"/>
                <w:color w:val="000000"/>
                <w:szCs w:val="21"/>
              </w:rPr>
              <w:t>被批阅为“优秀”</w:t>
            </w:r>
            <w:r>
              <w:rPr>
                <w:rFonts w:hint="eastAsia" w:ascii="仿宋_GB2312" w:hAnsi="仿宋" w:eastAsia="仿宋_GB2312"/>
                <w:color w:val="000000"/>
                <w:szCs w:val="21"/>
                <w:lang w:eastAsia="zh-CN"/>
              </w:rPr>
              <w:t>加</w:t>
            </w:r>
            <w:r>
              <w:rPr>
                <w:rFonts w:hint="eastAsia" w:ascii="仿宋_GB2312" w:hAnsi="仿宋" w:eastAsia="仿宋_GB2312"/>
                <w:color w:val="000000"/>
                <w:szCs w:val="21"/>
                <w:lang w:val="en-US" w:eastAsia="zh-CN"/>
              </w:rPr>
              <w:t>8</w:t>
            </w:r>
            <w:r>
              <w:rPr>
                <w:rFonts w:hint="eastAsia" w:ascii="仿宋_GB2312" w:hAnsi="仿宋" w:eastAsia="仿宋_GB2312"/>
                <w:color w:val="000000"/>
                <w:szCs w:val="21"/>
              </w:rPr>
              <w:t>分，“良好”</w:t>
            </w:r>
            <w:r>
              <w:rPr>
                <w:rFonts w:hint="eastAsia" w:ascii="仿宋_GB2312" w:hAnsi="仿宋" w:eastAsia="仿宋_GB2312"/>
                <w:color w:val="000000"/>
                <w:szCs w:val="21"/>
                <w:lang w:eastAsia="zh-CN"/>
              </w:rPr>
              <w:t>加</w:t>
            </w:r>
            <w:r>
              <w:rPr>
                <w:rFonts w:hint="eastAsia" w:ascii="仿宋_GB2312" w:hAnsi="仿宋" w:eastAsia="仿宋_GB2312"/>
                <w:color w:val="000000"/>
                <w:szCs w:val="21"/>
                <w:lang w:val="en-US" w:eastAsia="zh-CN"/>
              </w:rPr>
              <w:t>5</w:t>
            </w:r>
            <w:r>
              <w:rPr>
                <w:rFonts w:hint="eastAsia" w:ascii="仿宋_GB2312" w:hAnsi="仿宋" w:eastAsia="仿宋_GB2312"/>
                <w:color w:val="000000"/>
                <w:szCs w:val="21"/>
              </w:rPr>
              <w:t>分，“合格”</w:t>
            </w:r>
            <w:r>
              <w:rPr>
                <w:rFonts w:hint="eastAsia" w:ascii="仿宋_GB2312" w:hAnsi="仿宋" w:eastAsia="仿宋_GB2312"/>
                <w:color w:val="000000"/>
                <w:szCs w:val="21"/>
                <w:lang w:eastAsia="zh-CN"/>
              </w:rPr>
              <w:t>加</w:t>
            </w:r>
            <w:r>
              <w:rPr>
                <w:rFonts w:hint="eastAsia" w:ascii="仿宋_GB2312" w:hAnsi="仿宋" w:eastAsia="仿宋_GB2312"/>
                <w:color w:val="000000"/>
                <w:szCs w:val="21"/>
                <w:lang w:val="en-US" w:eastAsia="zh-CN"/>
              </w:rPr>
              <w:t>3</w:t>
            </w:r>
            <w:r>
              <w:rPr>
                <w:rFonts w:hint="eastAsia" w:ascii="仿宋_GB2312" w:hAnsi="仿宋" w:eastAsia="仿宋_GB2312"/>
                <w:color w:val="000000"/>
                <w:szCs w:val="21"/>
              </w:rPr>
              <w:t>分，“不合格”不加分，未参与不得分。</w:t>
            </w:r>
          </w:p>
        </w:tc>
        <w:tc>
          <w:tcPr>
            <w:tcW w:w="1843" w:type="dxa"/>
            <w:vAlign w:val="center"/>
          </w:tcPr>
          <w:p>
            <w:pPr>
              <w:spacing w:before="48" w:after="48"/>
              <w:jc w:val="center"/>
              <w:rPr>
                <w:rFonts w:ascii="仿宋_GB2312" w:hAnsi="仿宋" w:eastAsia="仿宋_GB2312"/>
                <w:color w:val="000000"/>
                <w:szCs w:val="21"/>
              </w:rPr>
            </w:pPr>
            <w:r>
              <w:rPr>
                <w:rFonts w:hint="eastAsia" w:ascii="仿宋_GB2312" w:hAnsi="仿宋" w:eastAsia="仿宋_GB2312"/>
                <w:color w:val="000000"/>
                <w:szCs w:val="21"/>
                <w:lang w:val="en-US" w:eastAsia="zh-CN"/>
              </w:rPr>
              <w:t>30</w:t>
            </w:r>
            <w:r>
              <w:rPr>
                <w:rFonts w:hint="eastAsia" w:ascii="仿宋_GB2312" w:hAnsi="仿宋" w:eastAsia="仿宋_GB2312"/>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Merge w:val="restart"/>
            <w:vAlign w:val="center"/>
          </w:tcPr>
          <w:p>
            <w:pPr>
              <w:spacing w:before="48" w:after="48"/>
              <w:jc w:val="center"/>
              <w:rPr>
                <w:rFonts w:ascii="仿宋_GB2312" w:hAnsi="仿宋" w:eastAsia="仿宋_GB2312"/>
                <w:color w:val="000000"/>
                <w:szCs w:val="21"/>
              </w:rPr>
            </w:pPr>
            <w:r>
              <w:rPr>
                <w:rFonts w:hint="eastAsia" w:ascii="仿宋_GB2312" w:hAnsi="仿宋" w:eastAsia="仿宋_GB2312"/>
                <w:color w:val="000000"/>
                <w:szCs w:val="21"/>
              </w:rPr>
              <w:t>线</w:t>
            </w:r>
            <w:r>
              <w:rPr>
                <w:rFonts w:ascii="仿宋_GB2312" w:hAnsi="仿宋" w:eastAsia="仿宋_GB2312"/>
                <w:color w:val="000000"/>
                <w:szCs w:val="21"/>
              </w:rPr>
              <w:t>上</w:t>
            </w:r>
          </w:p>
        </w:tc>
        <w:tc>
          <w:tcPr>
            <w:tcW w:w="1281" w:type="dxa"/>
            <w:vAlign w:val="center"/>
          </w:tcPr>
          <w:p>
            <w:pPr>
              <w:spacing w:before="48" w:after="48"/>
              <w:jc w:val="center"/>
              <w:rPr>
                <w:rFonts w:ascii="仿宋_GB2312" w:hAnsi="仿宋" w:eastAsia="仿宋_GB2312"/>
                <w:color w:val="000000"/>
                <w:szCs w:val="21"/>
              </w:rPr>
            </w:pPr>
            <w:r>
              <w:rPr>
                <w:rFonts w:hint="eastAsia" w:ascii="仿宋_GB2312" w:hAnsi="仿宋" w:eastAsia="仿宋_GB2312"/>
                <w:color w:val="000000"/>
                <w:szCs w:val="21"/>
              </w:rPr>
              <w:t>论坛研讨</w:t>
            </w:r>
          </w:p>
        </w:tc>
        <w:tc>
          <w:tcPr>
            <w:tcW w:w="4564" w:type="dxa"/>
          </w:tcPr>
          <w:p>
            <w:pPr>
              <w:spacing w:before="48" w:after="48"/>
              <w:rPr>
                <w:rFonts w:ascii="仿宋_GB2312" w:hAnsi="仿宋" w:eastAsia="仿宋_GB2312"/>
                <w:color w:val="000000"/>
                <w:szCs w:val="21"/>
              </w:rPr>
            </w:pPr>
            <w:r>
              <w:rPr>
                <w:rFonts w:hint="eastAsia" w:ascii="仿宋_GB2312" w:hAnsi="仿宋" w:eastAsia="仿宋_GB2312"/>
                <w:color w:val="000000"/>
                <w:szCs w:val="21"/>
              </w:rPr>
              <w:t xml:space="preserve">根据培训任务要求，学员在培训期间积极参与网上互动与研讨，要求发布不少于5个主题帖，10个回复贴。 </w:t>
            </w:r>
          </w:p>
        </w:tc>
        <w:tc>
          <w:tcPr>
            <w:tcW w:w="1843"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Merge w:val="continue"/>
            <w:vAlign w:val="center"/>
          </w:tcPr>
          <w:p>
            <w:pPr>
              <w:spacing w:before="48" w:after="48"/>
              <w:jc w:val="center"/>
              <w:rPr>
                <w:rFonts w:ascii="仿宋_GB2312" w:hAnsi="仿宋" w:eastAsia="仿宋_GB2312"/>
                <w:color w:val="000000"/>
                <w:szCs w:val="21"/>
              </w:rPr>
            </w:pPr>
          </w:p>
        </w:tc>
        <w:tc>
          <w:tcPr>
            <w:tcW w:w="1281" w:type="dxa"/>
            <w:vAlign w:val="center"/>
          </w:tcPr>
          <w:p>
            <w:pPr>
              <w:spacing w:before="48" w:after="48"/>
              <w:jc w:val="center"/>
              <w:rPr>
                <w:rFonts w:ascii="仿宋_GB2312" w:hAnsi="仿宋" w:eastAsia="仿宋_GB2312"/>
                <w:color w:val="000000"/>
                <w:szCs w:val="21"/>
              </w:rPr>
            </w:pPr>
            <w:r>
              <w:rPr>
                <w:rFonts w:hint="eastAsia" w:ascii="仿宋_GB2312" w:hAnsi="仿宋" w:eastAsia="仿宋_GB2312"/>
                <w:color w:val="000000"/>
                <w:szCs w:val="21"/>
                <w:lang w:eastAsia="zh-CN"/>
              </w:rPr>
              <w:t>学习</w:t>
            </w:r>
            <w:r>
              <w:rPr>
                <w:rFonts w:hint="eastAsia" w:ascii="仿宋_GB2312" w:hAnsi="仿宋" w:eastAsia="仿宋_GB2312"/>
                <w:color w:val="000000"/>
                <w:szCs w:val="21"/>
              </w:rPr>
              <w:t>日志</w:t>
            </w:r>
          </w:p>
        </w:tc>
        <w:tc>
          <w:tcPr>
            <w:tcW w:w="4564" w:type="dxa"/>
          </w:tcPr>
          <w:p>
            <w:pPr>
              <w:spacing w:before="48" w:after="48"/>
              <w:rPr>
                <w:rFonts w:ascii="仿宋_GB2312" w:hAnsi="仿宋" w:eastAsia="仿宋_GB2312"/>
                <w:color w:val="000000"/>
                <w:szCs w:val="21"/>
              </w:rPr>
            </w:pPr>
            <w:r>
              <w:rPr>
                <w:rFonts w:hint="eastAsia" w:ascii="仿宋_GB2312" w:hAnsi="仿宋" w:eastAsia="仿宋_GB2312"/>
                <w:color w:val="000000"/>
                <w:szCs w:val="21"/>
              </w:rPr>
              <w:t>结合培训过程中的所思所想所得提交学习日志</w:t>
            </w:r>
            <w:r>
              <w:rPr>
                <w:rFonts w:hint="eastAsia" w:ascii="仿宋_GB2312" w:hAnsi="仿宋" w:eastAsia="仿宋_GB2312"/>
                <w:color w:val="000000"/>
                <w:szCs w:val="21"/>
                <w:lang w:val="en-US" w:eastAsia="zh-CN"/>
              </w:rPr>
              <w:t>4</w:t>
            </w:r>
            <w:r>
              <w:rPr>
                <w:rFonts w:hint="eastAsia" w:ascii="仿宋_GB2312" w:hAnsi="仿宋" w:eastAsia="仿宋_GB2312"/>
                <w:color w:val="000000"/>
                <w:szCs w:val="21"/>
              </w:rPr>
              <w:t>篇，每篇5分，总分</w:t>
            </w:r>
            <w:r>
              <w:rPr>
                <w:rFonts w:hint="eastAsia" w:ascii="仿宋_GB2312" w:hAnsi="仿宋" w:eastAsia="仿宋_GB2312"/>
                <w:color w:val="000000"/>
                <w:szCs w:val="21"/>
                <w:lang w:val="en-US" w:eastAsia="zh-CN"/>
              </w:rPr>
              <w:t>20</w:t>
            </w:r>
            <w:r>
              <w:rPr>
                <w:rFonts w:hint="eastAsia" w:ascii="仿宋_GB2312" w:hAnsi="仿宋" w:eastAsia="仿宋_GB2312"/>
                <w:color w:val="000000"/>
                <w:szCs w:val="21"/>
              </w:rPr>
              <w:t>分。</w:t>
            </w:r>
          </w:p>
        </w:tc>
        <w:tc>
          <w:tcPr>
            <w:tcW w:w="1843"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lang w:val="en-US" w:eastAsia="zh-CN"/>
              </w:rPr>
              <w:t>20</w:t>
            </w:r>
            <w:r>
              <w:rPr>
                <w:rFonts w:hint="eastAsia" w:ascii="仿宋_GB2312" w:hAnsi="仿宋" w:eastAsia="仿宋_GB2312"/>
                <w:color w:val="000000"/>
                <w:szCs w:val="21"/>
              </w:rPr>
              <w:t>分</w:t>
            </w:r>
          </w:p>
        </w:tc>
      </w:tr>
    </w:tbl>
    <w:p>
      <w:pPr>
        <w:spacing w:before="48" w:after="48" w:line="360" w:lineRule="auto"/>
        <w:ind w:firstLine="480" w:firstLineChars="200"/>
        <w:rPr>
          <w:rFonts w:hint="eastAsia" w:ascii="宋体" w:hAnsi="宋体"/>
          <w:sz w:val="24"/>
        </w:rPr>
      </w:pPr>
      <w:bookmarkStart w:id="0" w:name="_GoBack"/>
    </w:p>
    <w:bookmarkEnd w:id="0"/>
    <w:p>
      <w:pPr>
        <w:spacing w:before="48" w:after="48" w:line="360" w:lineRule="auto"/>
        <w:ind w:firstLine="480" w:firstLineChars="200"/>
        <w:rPr>
          <w:rFonts w:hint="eastAsia" w:ascii="宋体" w:hAnsi="宋体"/>
          <w:sz w:val="24"/>
        </w:rPr>
      </w:pPr>
    </w:p>
    <w:p>
      <w:pPr>
        <w:spacing w:before="48" w:after="48" w:line="360" w:lineRule="auto"/>
        <w:ind w:firstLine="480" w:firstLineChars="200"/>
        <w:rPr>
          <w:rFonts w:hint="eastAsia" w:ascii="宋体" w:hAnsi="宋体"/>
          <w:sz w:val="24"/>
        </w:rPr>
      </w:pPr>
    </w:p>
    <w:p>
      <w:pPr>
        <w:spacing w:before="48" w:after="48" w:line="360" w:lineRule="auto"/>
        <w:ind w:firstLine="480" w:firstLineChars="200"/>
        <w:rPr>
          <w:rFonts w:hint="eastAsia" w:ascii="宋体" w:hAnsi="宋体"/>
          <w:sz w:val="24"/>
        </w:rPr>
      </w:pPr>
    </w:p>
    <w:p>
      <w:pPr>
        <w:spacing w:before="48" w:after="48" w:line="360" w:lineRule="auto"/>
        <w:rPr>
          <w:rFonts w:hint="eastAsia" w:ascii="宋体" w:hAnsi="宋体"/>
          <w:sz w:val="24"/>
        </w:rPr>
      </w:pPr>
    </w:p>
    <w:p>
      <w:pPr>
        <w:spacing w:before="48" w:after="48" w:line="360" w:lineRule="auto"/>
        <w:ind w:firstLine="482" w:firstLineChars="200"/>
        <w:rPr>
          <w:rFonts w:ascii="宋体" w:hAnsi="宋体"/>
          <w:b/>
          <w:sz w:val="24"/>
        </w:rPr>
      </w:pPr>
      <w:r>
        <w:rPr>
          <w:rFonts w:hint="eastAsia" w:ascii="宋体" w:hAnsi="宋体"/>
          <w:b/>
          <w:sz w:val="24"/>
          <w:lang w:val="en-US" w:eastAsia="zh-CN"/>
        </w:rPr>
        <w:t>2</w:t>
      </w:r>
      <w:r>
        <w:rPr>
          <w:rFonts w:hint="eastAsia" w:ascii="宋体" w:hAnsi="宋体"/>
          <w:b/>
          <w:sz w:val="24"/>
        </w:rPr>
        <w:t>.对培训者（辅导教师）的考核</w:t>
      </w:r>
    </w:p>
    <w:p>
      <w:pPr>
        <w:spacing w:before="48" w:after="48" w:line="360" w:lineRule="auto"/>
        <w:ind w:firstLine="480" w:firstLineChars="200"/>
        <w:rPr>
          <w:rFonts w:hint="eastAsia" w:ascii="宋体" w:hAnsi="宋体"/>
          <w:sz w:val="24"/>
        </w:rPr>
      </w:pPr>
      <w:r>
        <w:rPr>
          <w:rFonts w:hint="eastAsia" w:ascii="宋体" w:hAnsi="宋体"/>
          <w:sz w:val="24"/>
        </w:rPr>
        <w:t>包括研修指导与管理的绩效指标</w:t>
      </w:r>
      <w:r>
        <w:rPr>
          <w:rFonts w:hint="eastAsia" w:ascii="宋体" w:hAnsi="宋体"/>
          <w:sz w:val="24"/>
          <w:lang w:eastAsia="zh-CN"/>
        </w:rPr>
        <w:t>班级</w:t>
      </w:r>
      <w:r>
        <w:rPr>
          <w:rFonts w:hint="eastAsia" w:ascii="宋体" w:hAnsi="宋体"/>
          <w:sz w:val="24"/>
        </w:rPr>
        <w:t>成员的学习率、合格率、优秀率、研修进度，辅导教师的研修绩效</w:t>
      </w:r>
      <w:r>
        <w:rPr>
          <w:rFonts w:ascii="宋体" w:hAnsi="宋体"/>
          <w:sz w:val="24"/>
        </w:rPr>
        <w:t>—</w:t>
      </w:r>
      <w:r>
        <w:rPr>
          <w:rFonts w:hint="eastAsia" w:ascii="宋体" w:hAnsi="宋体"/>
          <w:sz w:val="24"/>
        </w:rPr>
        <w:t>辅导教师发布研修资源的优秀率、发起研修活动的优秀率等，监测和评估辅导教师的工作绩效。考核评价未达到80分，则视为不合格。</w:t>
      </w:r>
    </w:p>
    <w:tbl>
      <w:tblPr>
        <w:tblStyle w:val="8"/>
        <w:tblW w:w="75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449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3" w:type="dxa"/>
            <w:vAlign w:val="center"/>
          </w:tcPr>
          <w:p>
            <w:pPr>
              <w:spacing w:before="48" w:after="48"/>
              <w:jc w:val="center"/>
              <w:rPr>
                <w:rFonts w:ascii="仿宋_GB2312" w:hAnsi="仿宋" w:eastAsia="仿宋_GB2312"/>
                <w:b/>
                <w:color w:val="000000"/>
                <w:szCs w:val="21"/>
              </w:rPr>
            </w:pPr>
            <w:r>
              <w:rPr>
                <w:rFonts w:hint="eastAsia" w:ascii="仿宋_GB2312" w:hAnsi="仿宋" w:eastAsia="仿宋_GB2312"/>
                <w:b/>
                <w:color w:val="000000"/>
                <w:szCs w:val="21"/>
              </w:rPr>
              <w:t>评价指标</w:t>
            </w:r>
          </w:p>
        </w:tc>
        <w:tc>
          <w:tcPr>
            <w:tcW w:w="4490" w:type="dxa"/>
            <w:vAlign w:val="center"/>
          </w:tcPr>
          <w:p>
            <w:pPr>
              <w:spacing w:before="48" w:after="48"/>
              <w:jc w:val="center"/>
              <w:rPr>
                <w:rFonts w:ascii="仿宋_GB2312" w:hAnsi="仿宋" w:eastAsia="仿宋_GB2312"/>
                <w:b/>
                <w:color w:val="000000"/>
                <w:szCs w:val="21"/>
              </w:rPr>
            </w:pPr>
            <w:r>
              <w:rPr>
                <w:rFonts w:hint="eastAsia" w:ascii="仿宋_GB2312" w:hAnsi="仿宋" w:eastAsia="仿宋_GB2312"/>
                <w:b/>
                <w:color w:val="000000"/>
                <w:szCs w:val="21"/>
              </w:rPr>
              <w:t>评价结果的应用方式</w:t>
            </w:r>
          </w:p>
        </w:tc>
        <w:tc>
          <w:tcPr>
            <w:tcW w:w="1699" w:type="dxa"/>
            <w:vAlign w:val="center"/>
          </w:tcPr>
          <w:p>
            <w:pPr>
              <w:spacing w:before="48" w:after="48"/>
              <w:jc w:val="center"/>
              <w:rPr>
                <w:rFonts w:ascii="仿宋_GB2312" w:hAnsi="仿宋" w:eastAsia="仿宋_GB2312"/>
                <w:b/>
                <w:color w:val="000000"/>
                <w:szCs w:val="21"/>
              </w:rPr>
            </w:pPr>
            <w:r>
              <w:rPr>
                <w:rFonts w:hint="eastAsia" w:ascii="仿宋_GB2312" w:hAnsi="仿宋" w:eastAsia="仿宋_GB2312"/>
                <w:b/>
                <w:color w:val="000000"/>
                <w:szCs w:val="21"/>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3" w:type="dxa"/>
            <w:vAlign w:val="center"/>
          </w:tcPr>
          <w:p>
            <w:pPr>
              <w:jc w:val="center"/>
              <w:rPr>
                <w:rFonts w:ascii="仿宋_GB2312" w:hAnsi="仿宋" w:eastAsia="仿宋_GB2312"/>
                <w:color w:val="000000"/>
                <w:szCs w:val="21"/>
              </w:rPr>
            </w:pPr>
            <w:r>
              <w:rPr>
                <w:rFonts w:hint="eastAsia" w:ascii="仿宋" w:hAnsi="仿宋" w:eastAsia="仿宋"/>
                <w:color w:val="000000"/>
                <w:sz w:val="24"/>
                <w:szCs w:val="24"/>
              </w:rPr>
              <w:t>作品推优</w:t>
            </w:r>
          </w:p>
        </w:tc>
        <w:tc>
          <w:tcPr>
            <w:tcW w:w="4490" w:type="dxa"/>
            <w:vAlign w:val="center"/>
          </w:tcPr>
          <w:p>
            <w:pPr>
              <w:widowControl/>
              <w:spacing w:line="390" w:lineRule="atLeast"/>
              <w:ind w:firstLine="450"/>
              <w:jc w:val="left"/>
              <w:rPr>
                <w:rFonts w:ascii="仿宋" w:hAnsi="仿宋" w:eastAsia="仿宋"/>
                <w:color w:val="000000"/>
                <w:sz w:val="24"/>
                <w:szCs w:val="24"/>
              </w:rPr>
            </w:pPr>
            <w:r>
              <w:rPr>
                <w:rFonts w:hint="eastAsia" w:ascii="仿宋" w:hAnsi="仿宋" w:eastAsia="仿宋"/>
                <w:color w:val="000000"/>
                <w:sz w:val="24"/>
                <w:szCs w:val="24"/>
              </w:rPr>
              <w:t>（1）对本</w:t>
            </w:r>
            <w:r>
              <w:rPr>
                <w:rFonts w:hint="eastAsia" w:ascii="仿宋" w:hAnsi="仿宋" w:eastAsia="仿宋"/>
                <w:color w:val="000000"/>
                <w:sz w:val="24"/>
                <w:szCs w:val="24"/>
                <w:lang w:eastAsia="zh-CN"/>
              </w:rPr>
              <w:t>班</w:t>
            </w:r>
            <w:r>
              <w:rPr>
                <w:rFonts w:hint="eastAsia" w:ascii="仿宋" w:hAnsi="仿宋" w:eastAsia="仿宋"/>
                <w:color w:val="000000"/>
                <w:sz w:val="24"/>
                <w:szCs w:val="24"/>
              </w:rPr>
              <w:t>参训成员提交的各类研修作品（如</w:t>
            </w:r>
            <w:r>
              <w:rPr>
                <w:rFonts w:hint="eastAsia" w:ascii="仿宋" w:hAnsi="仿宋" w:eastAsia="仿宋"/>
                <w:color w:val="000000"/>
                <w:sz w:val="24"/>
                <w:szCs w:val="24"/>
                <w:lang w:eastAsia="zh-CN"/>
              </w:rPr>
              <w:t>学习</w:t>
            </w:r>
            <w:r>
              <w:rPr>
                <w:rFonts w:hint="eastAsia" w:ascii="仿宋" w:hAnsi="仿宋" w:eastAsia="仿宋"/>
                <w:color w:val="000000"/>
                <w:sz w:val="24"/>
                <w:szCs w:val="24"/>
              </w:rPr>
              <w:t>日志、资源分享、</w:t>
            </w:r>
            <w:r>
              <w:rPr>
                <w:rFonts w:hint="eastAsia" w:ascii="仿宋" w:hAnsi="仿宋" w:eastAsia="仿宋"/>
                <w:color w:val="000000"/>
                <w:sz w:val="24"/>
                <w:szCs w:val="24"/>
                <w:lang w:eastAsia="zh-CN"/>
              </w:rPr>
              <w:t>研修</w:t>
            </w:r>
            <w:r>
              <w:rPr>
                <w:rFonts w:hint="eastAsia" w:ascii="仿宋" w:hAnsi="仿宋" w:eastAsia="仿宋"/>
                <w:color w:val="000000"/>
                <w:sz w:val="24"/>
                <w:szCs w:val="24"/>
              </w:rPr>
              <w:t>作业等）进行适当推荐（推荐比例约占作品提交总数的5%左右，该比例可以视本组提交作品的数量及质量灵活掌握）；</w:t>
            </w:r>
          </w:p>
          <w:p>
            <w:pPr>
              <w:widowControl/>
              <w:spacing w:line="390" w:lineRule="atLeast"/>
              <w:ind w:firstLine="450"/>
              <w:jc w:val="left"/>
              <w:rPr>
                <w:rFonts w:ascii="仿宋" w:hAnsi="仿宋" w:eastAsia="仿宋"/>
                <w:color w:val="000000"/>
                <w:sz w:val="24"/>
                <w:szCs w:val="24"/>
              </w:rPr>
            </w:pPr>
            <w:r>
              <w:rPr>
                <w:rFonts w:hint="eastAsia" w:ascii="仿宋" w:hAnsi="仿宋" w:eastAsia="仿宋"/>
                <w:color w:val="000000"/>
                <w:sz w:val="24"/>
                <w:szCs w:val="24"/>
              </w:rPr>
              <w:t>（2）通过成员管理功能对本</w:t>
            </w:r>
            <w:r>
              <w:rPr>
                <w:rFonts w:hint="eastAsia" w:ascii="仿宋" w:hAnsi="仿宋" w:eastAsia="仿宋"/>
                <w:color w:val="000000"/>
                <w:sz w:val="24"/>
                <w:szCs w:val="24"/>
                <w:lang w:eastAsia="zh-CN"/>
              </w:rPr>
              <w:t>班</w:t>
            </w:r>
            <w:r>
              <w:rPr>
                <w:rFonts w:hint="eastAsia" w:ascii="仿宋" w:hAnsi="仿宋" w:eastAsia="仿宋"/>
                <w:color w:val="000000"/>
                <w:sz w:val="24"/>
                <w:szCs w:val="24"/>
              </w:rPr>
              <w:t>表现优秀的成员进行推荐；</w:t>
            </w:r>
          </w:p>
          <w:p>
            <w:pPr>
              <w:rPr>
                <w:rFonts w:ascii="仿宋_GB2312" w:hAnsi="仿宋" w:eastAsia="仿宋_GB2312"/>
                <w:color w:val="000000"/>
                <w:szCs w:val="21"/>
              </w:rPr>
            </w:pPr>
            <w:r>
              <w:rPr>
                <w:rFonts w:hint="eastAsia" w:ascii="仿宋" w:hAnsi="仿宋" w:eastAsia="仿宋"/>
                <w:color w:val="000000"/>
                <w:sz w:val="24"/>
                <w:szCs w:val="24"/>
              </w:rPr>
              <w:t>本项考核满分10分；如没有进行任何推优工作，则该项考核记为0分。</w:t>
            </w:r>
          </w:p>
        </w:tc>
        <w:tc>
          <w:tcPr>
            <w:tcW w:w="1699"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353"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研修作业</w:t>
            </w:r>
          </w:p>
        </w:tc>
        <w:tc>
          <w:tcPr>
            <w:tcW w:w="4490" w:type="dxa"/>
            <w:vAlign w:val="center"/>
          </w:tcPr>
          <w:p>
            <w:pPr>
              <w:rPr>
                <w:rFonts w:ascii="仿宋_GB2312" w:hAnsi="仿宋" w:eastAsia="仿宋_GB2312"/>
                <w:color w:val="000000"/>
                <w:szCs w:val="21"/>
              </w:rPr>
            </w:pPr>
            <w:r>
              <w:rPr>
                <w:rFonts w:hint="eastAsia" w:ascii="仿宋_GB2312" w:hAnsi="仿宋" w:eastAsia="仿宋_GB2312"/>
                <w:color w:val="000000"/>
                <w:szCs w:val="21"/>
              </w:rPr>
              <w:t>辅导教师需及时批阅学员作业，对学员作业进行成绩评定，要求班级作业批阅率为100%。</w:t>
            </w:r>
          </w:p>
        </w:tc>
        <w:tc>
          <w:tcPr>
            <w:tcW w:w="1699"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lang w:val="en-US" w:eastAsia="zh-CN"/>
              </w:rPr>
              <w:t>30</w:t>
            </w:r>
            <w:r>
              <w:rPr>
                <w:rFonts w:hint="eastAsia" w:ascii="仿宋_GB2312" w:hAnsi="仿宋" w:eastAsia="仿宋_GB2312"/>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3"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论坛研讨</w:t>
            </w:r>
          </w:p>
        </w:tc>
        <w:tc>
          <w:tcPr>
            <w:tcW w:w="4490" w:type="dxa"/>
            <w:vAlign w:val="center"/>
          </w:tcPr>
          <w:p>
            <w:pPr>
              <w:rPr>
                <w:rFonts w:ascii="仿宋_GB2312" w:hAnsi="仿宋" w:eastAsia="仿宋_GB2312"/>
                <w:color w:val="000000"/>
                <w:szCs w:val="21"/>
              </w:rPr>
            </w:pPr>
            <w:r>
              <w:rPr>
                <w:rFonts w:hint="eastAsia" w:ascii="仿宋_GB2312" w:hAnsi="仿宋" w:eastAsia="仿宋_GB2312"/>
                <w:color w:val="000000"/>
                <w:szCs w:val="21"/>
              </w:rPr>
              <w:t>辅导教师要结合培训主题及内容设计组织线上开展论坛主题研讨活动，并在每次研修活动之后，总结并撰写活动的研修成果，辅导教师要针对参加活动的成员进行有效评价。</w:t>
            </w:r>
          </w:p>
        </w:tc>
        <w:tc>
          <w:tcPr>
            <w:tcW w:w="1699"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lang w:val="en-US" w:eastAsia="zh-CN"/>
              </w:rPr>
              <w:t>1</w:t>
            </w:r>
            <w:r>
              <w:rPr>
                <w:rFonts w:hint="eastAsia" w:ascii="仿宋_GB2312" w:hAnsi="仿宋" w:eastAsia="仿宋_GB2312"/>
                <w:color w:val="00000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3"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班级学员学习情况</w:t>
            </w:r>
          </w:p>
        </w:tc>
        <w:tc>
          <w:tcPr>
            <w:tcW w:w="4490" w:type="dxa"/>
            <w:vAlign w:val="center"/>
          </w:tcPr>
          <w:p>
            <w:pPr>
              <w:rPr>
                <w:rFonts w:ascii="仿宋_GB2312" w:hAnsi="仿宋" w:eastAsia="仿宋_GB2312"/>
                <w:color w:val="000000"/>
                <w:szCs w:val="21"/>
              </w:rPr>
            </w:pPr>
            <w:r>
              <w:rPr>
                <w:rFonts w:hint="eastAsia" w:ascii="仿宋_GB2312" w:hAnsi="仿宋" w:eastAsia="仿宋_GB2312"/>
                <w:color w:val="000000"/>
                <w:szCs w:val="21"/>
              </w:rPr>
              <w:t>班级学员学习率及合格率要达到95%以上；</w:t>
            </w:r>
          </w:p>
          <w:p>
            <w:pPr>
              <w:rPr>
                <w:rFonts w:ascii="仿宋_GB2312" w:hAnsi="仿宋" w:eastAsia="仿宋_GB2312"/>
                <w:color w:val="000000"/>
                <w:szCs w:val="21"/>
              </w:rPr>
            </w:pPr>
            <w:r>
              <w:rPr>
                <w:rFonts w:hint="eastAsia" w:ascii="仿宋_GB2312" w:hAnsi="仿宋" w:eastAsia="仿宋_GB2312"/>
                <w:color w:val="000000"/>
                <w:szCs w:val="21"/>
              </w:rPr>
              <w:t>优秀率达到10%以上。</w:t>
            </w:r>
          </w:p>
        </w:tc>
        <w:tc>
          <w:tcPr>
            <w:tcW w:w="1699"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lang w:val="en-US" w:eastAsia="zh-CN"/>
              </w:rPr>
              <w:t>30</w:t>
            </w:r>
            <w:r>
              <w:rPr>
                <w:rFonts w:hint="eastAsia" w:ascii="仿宋_GB2312" w:hAnsi="仿宋" w:eastAsia="仿宋_GB2312"/>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3"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班级</w:t>
            </w:r>
          </w:p>
          <w:p>
            <w:pPr>
              <w:jc w:val="center"/>
              <w:rPr>
                <w:rFonts w:ascii="仿宋_GB2312" w:hAnsi="仿宋" w:eastAsia="仿宋_GB2312"/>
                <w:color w:val="000000"/>
                <w:szCs w:val="21"/>
              </w:rPr>
            </w:pPr>
            <w:r>
              <w:rPr>
                <w:rFonts w:hint="eastAsia" w:ascii="仿宋_GB2312" w:hAnsi="仿宋" w:eastAsia="仿宋_GB2312"/>
                <w:color w:val="000000"/>
                <w:szCs w:val="21"/>
              </w:rPr>
              <w:t>简报</w:t>
            </w:r>
          </w:p>
        </w:tc>
        <w:tc>
          <w:tcPr>
            <w:tcW w:w="4490" w:type="dxa"/>
            <w:vAlign w:val="center"/>
          </w:tcPr>
          <w:p>
            <w:pPr>
              <w:rPr>
                <w:rFonts w:ascii="仿宋_GB2312" w:hAnsi="仿宋" w:eastAsia="仿宋_GB2312"/>
                <w:color w:val="000000"/>
                <w:szCs w:val="21"/>
              </w:rPr>
            </w:pPr>
            <w:r>
              <w:rPr>
                <w:rFonts w:hint="eastAsia" w:ascii="仿宋_GB2312" w:hAnsi="仿宋" w:eastAsia="仿宋_GB2312"/>
                <w:color w:val="000000"/>
                <w:szCs w:val="21"/>
              </w:rPr>
              <w:t>辅导教师要发布不少于4期班级简报，简报内容可以包含专业引领、答疑解惑、资源分享等不仅限于此些内容。</w:t>
            </w:r>
          </w:p>
        </w:tc>
        <w:tc>
          <w:tcPr>
            <w:tcW w:w="1699" w:type="dxa"/>
            <w:vAlign w:val="center"/>
          </w:tcPr>
          <w:p>
            <w:pPr>
              <w:jc w:val="center"/>
              <w:rPr>
                <w:rFonts w:ascii="仿宋_GB2312" w:hAnsi="仿宋" w:eastAsia="仿宋_GB2312"/>
                <w:color w:val="000000"/>
                <w:szCs w:val="21"/>
              </w:rPr>
            </w:pPr>
            <w:r>
              <w:rPr>
                <w:rFonts w:hint="eastAsia" w:ascii="仿宋_GB2312" w:hAnsi="仿宋" w:eastAsia="仿宋_GB2312"/>
                <w:color w:val="000000"/>
                <w:szCs w:val="21"/>
              </w:rPr>
              <w:t>20分</w:t>
            </w:r>
          </w:p>
        </w:tc>
      </w:tr>
    </w:tbl>
    <w:p>
      <w:pPr>
        <w:spacing w:before="48" w:after="48" w:line="360" w:lineRule="auto"/>
        <w:ind w:firstLine="361" w:firstLineChars="150"/>
        <w:rPr>
          <w:rFonts w:ascii="宋体" w:hAnsi="宋体" w:cs="仿宋_GB2312"/>
          <w:b/>
          <w:sz w:val="24"/>
        </w:rPr>
      </w:pPr>
    </w:p>
    <w:p>
      <w:pPr>
        <w:spacing w:before="48" w:after="48" w:line="360" w:lineRule="auto"/>
        <w:ind w:firstLine="361" w:firstLineChars="150"/>
        <w:rPr>
          <w:rFonts w:ascii="宋体" w:hAnsi="宋体" w:cs="仿宋_GB2312"/>
          <w:b/>
          <w:sz w:val="24"/>
        </w:rPr>
      </w:pPr>
    </w:p>
    <w:p>
      <w:pPr>
        <w:spacing w:before="48" w:after="48" w:line="360" w:lineRule="auto"/>
        <w:ind w:firstLine="361" w:firstLineChars="150"/>
        <w:rPr>
          <w:rFonts w:ascii="宋体" w:hAnsi="宋体" w:cs="仿宋_GB2312"/>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40001" w:csb1="00000000"/>
  </w:font>
  <w:font w:name="sans serif">
    <w:altName w:val="Segoe Print"/>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Castellar">
    <w:panose1 w:val="020A0402060406010301"/>
    <w:charset w:val="00"/>
    <w:family w:val="roman"/>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Calibri Light">
    <w:altName w:val="Calibri"/>
    <w:panose1 w:val="00000000000000000000"/>
    <w:charset w:val="00"/>
    <w:family w:val="auto"/>
    <w:pitch w:val="default"/>
    <w:sig w:usb0="00000000" w:usb1="00000000" w:usb2="00000000" w:usb3="00000000" w:csb0="00000000" w:csb1="00000000"/>
  </w:font>
  <w:font w:name="李旭科书法 v1.4">
    <w:altName w:val="宋体"/>
    <w:panose1 w:val="02000603000000000000"/>
    <w:charset w:val="86"/>
    <w:family w:val="auto"/>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16"/>
    <w:rsid w:val="00032354"/>
    <w:rsid w:val="00045438"/>
    <w:rsid w:val="00083D3F"/>
    <w:rsid w:val="001A4CFF"/>
    <w:rsid w:val="001B26CF"/>
    <w:rsid w:val="001F6BD3"/>
    <w:rsid w:val="0022250F"/>
    <w:rsid w:val="00230979"/>
    <w:rsid w:val="002B6B9D"/>
    <w:rsid w:val="003729A9"/>
    <w:rsid w:val="003802F2"/>
    <w:rsid w:val="00387D46"/>
    <w:rsid w:val="003908B7"/>
    <w:rsid w:val="004672C9"/>
    <w:rsid w:val="0047593B"/>
    <w:rsid w:val="0047656C"/>
    <w:rsid w:val="00487B16"/>
    <w:rsid w:val="004B0016"/>
    <w:rsid w:val="004E6780"/>
    <w:rsid w:val="004E7BB3"/>
    <w:rsid w:val="005033F4"/>
    <w:rsid w:val="00511563"/>
    <w:rsid w:val="00526C13"/>
    <w:rsid w:val="005F4D6C"/>
    <w:rsid w:val="00671C20"/>
    <w:rsid w:val="00721DA4"/>
    <w:rsid w:val="0072603E"/>
    <w:rsid w:val="0072638F"/>
    <w:rsid w:val="00752EBF"/>
    <w:rsid w:val="007F2062"/>
    <w:rsid w:val="00812DE9"/>
    <w:rsid w:val="00826689"/>
    <w:rsid w:val="00847488"/>
    <w:rsid w:val="00885A6C"/>
    <w:rsid w:val="00897F57"/>
    <w:rsid w:val="008A3129"/>
    <w:rsid w:val="008C4938"/>
    <w:rsid w:val="00A679A1"/>
    <w:rsid w:val="00AE0C17"/>
    <w:rsid w:val="00B373EA"/>
    <w:rsid w:val="00BD7E0A"/>
    <w:rsid w:val="00BE7E34"/>
    <w:rsid w:val="00C15C8F"/>
    <w:rsid w:val="00C87531"/>
    <w:rsid w:val="00C955CE"/>
    <w:rsid w:val="00CE3064"/>
    <w:rsid w:val="00D12A6C"/>
    <w:rsid w:val="00D4101C"/>
    <w:rsid w:val="00D46EF9"/>
    <w:rsid w:val="00D5263F"/>
    <w:rsid w:val="00DC2901"/>
    <w:rsid w:val="00DD16CC"/>
    <w:rsid w:val="00DE4C55"/>
    <w:rsid w:val="00DF05FF"/>
    <w:rsid w:val="00DF4571"/>
    <w:rsid w:val="00E222DB"/>
    <w:rsid w:val="00EE1949"/>
    <w:rsid w:val="00EE268F"/>
    <w:rsid w:val="00EF24C7"/>
    <w:rsid w:val="00F1039A"/>
    <w:rsid w:val="00F50D55"/>
    <w:rsid w:val="00F57E51"/>
    <w:rsid w:val="022C4641"/>
    <w:rsid w:val="027A70CF"/>
    <w:rsid w:val="03B8378D"/>
    <w:rsid w:val="03E12CFC"/>
    <w:rsid w:val="046757A2"/>
    <w:rsid w:val="04EE4F37"/>
    <w:rsid w:val="08877E08"/>
    <w:rsid w:val="0913183E"/>
    <w:rsid w:val="09B84595"/>
    <w:rsid w:val="09F02274"/>
    <w:rsid w:val="0AD92CB7"/>
    <w:rsid w:val="0D5110E3"/>
    <w:rsid w:val="0DB2201D"/>
    <w:rsid w:val="13046DB6"/>
    <w:rsid w:val="13B6638E"/>
    <w:rsid w:val="150E07F9"/>
    <w:rsid w:val="16446923"/>
    <w:rsid w:val="16A959D5"/>
    <w:rsid w:val="1759234F"/>
    <w:rsid w:val="18B772BF"/>
    <w:rsid w:val="19B47E87"/>
    <w:rsid w:val="1A9E023A"/>
    <w:rsid w:val="1AB248DA"/>
    <w:rsid w:val="1C3327C7"/>
    <w:rsid w:val="1C651A58"/>
    <w:rsid w:val="1F272D91"/>
    <w:rsid w:val="1FF60C13"/>
    <w:rsid w:val="20320AFE"/>
    <w:rsid w:val="210A767D"/>
    <w:rsid w:val="253C357F"/>
    <w:rsid w:val="256B16D2"/>
    <w:rsid w:val="25AE154C"/>
    <w:rsid w:val="25BA3494"/>
    <w:rsid w:val="25C66C99"/>
    <w:rsid w:val="25D60272"/>
    <w:rsid w:val="26631C6A"/>
    <w:rsid w:val="28094259"/>
    <w:rsid w:val="28B53B2C"/>
    <w:rsid w:val="293549F6"/>
    <w:rsid w:val="2A89227A"/>
    <w:rsid w:val="2B385058"/>
    <w:rsid w:val="2BFD1914"/>
    <w:rsid w:val="2CF26495"/>
    <w:rsid w:val="2E5E0A4D"/>
    <w:rsid w:val="2FE972EF"/>
    <w:rsid w:val="2FFF30F1"/>
    <w:rsid w:val="302B058D"/>
    <w:rsid w:val="31DB615C"/>
    <w:rsid w:val="320365C6"/>
    <w:rsid w:val="344D1681"/>
    <w:rsid w:val="356D1ACB"/>
    <w:rsid w:val="36115263"/>
    <w:rsid w:val="36473582"/>
    <w:rsid w:val="36893E96"/>
    <w:rsid w:val="3720499A"/>
    <w:rsid w:val="37E360E8"/>
    <w:rsid w:val="37F02297"/>
    <w:rsid w:val="3847161F"/>
    <w:rsid w:val="3861165E"/>
    <w:rsid w:val="3906088D"/>
    <w:rsid w:val="3B292F4F"/>
    <w:rsid w:val="3D5C18A5"/>
    <w:rsid w:val="3DEC0448"/>
    <w:rsid w:val="3FA666B4"/>
    <w:rsid w:val="3FB9276C"/>
    <w:rsid w:val="41782F43"/>
    <w:rsid w:val="417F17C4"/>
    <w:rsid w:val="422F1ACD"/>
    <w:rsid w:val="42904851"/>
    <w:rsid w:val="431D58DA"/>
    <w:rsid w:val="43ED76E9"/>
    <w:rsid w:val="44153281"/>
    <w:rsid w:val="445D48C5"/>
    <w:rsid w:val="447B780D"/>
    <w:rsid w:val="44A13E04"/>
    <w:rsid w:val="452C2D02"/>
    <w:rsid w:val="456431BC"/>
    <w:rsid w:val="475A630A"/>
    <w:rsid w:val="48B90B8C"/>
    <w:rsid w:val="49C40078"/>
    <w:rsid w:val="4AC64B61"/>
    <w:rsid w:val="4BA373E4"/>
    <w:rsid w:val="4D3A73D7"/>
    <w:rsid w:val="513C458B"/>
    <w:rsid w:val="517C1F5A"/>
    <w:rsid w:val="51880825"/>
    <w:rsid w:val="51C3657E"/>
    <w:rsid w:val="52493CF9"/>
    <w:rsid w:val="53C73963"/>
    <w:rsid w:val="54110064"/>
    <w:rsid w:val="544C7920"/>
    <w:rsid w:val="55A519AC"/>
    <w:rsid w:val="55F72A11"/>
    <w:rsid w:val="560A3225"/>
    <w:rsid w:val="56100DB3"/>
    <w:rsid w:val="5A045739"/>
    <w:rsid w:val="5B4121B9"/>
    <w:rsid w:val="5C2E04FB"/>
    <w:rsid w:val="5D15632E"/>
    <w:rsid w:val="5D1C0A4A"/>
    <w:rsid w:val="5D4118A9"/>
    <w:rsid w:val="5D4A5E63"/>
    <w:rsid w:val="5EBC3E09"/>
    <w:rsid w:val="5F8D3121"/>
    <w:rsid w:val="5FB51AD4"/>
    <w:rsid w:val="5FCE0A61"/>
    <w:rsid w:val="60152902"/>
    <w:rsid w:val="61D566F4"/>
    <w:rsid w:val="62103CE3"/>
    <w:rsid w:val="621F0339"/>
    <w:rsid w:val="62611E77"/>
    <w:rsid w:val="63876399"/>
    <w:rsid w:val="64023DAB"/>
    <w:rsid w:val="644C1FAF"/>
    <w:rsid w:val="657244D5"/>
    <w:rsid w:val="657308B8"/>
    <w:rsid w:val="65CF5382"/>
    <w:rsid w:val="66346390"/>
    <w:rsid w:val="66347164"/>
    <w:rsid w:val="67EB42DB"/>
    <w:rsid w:val="680A153E"/>
    <w:rsid w:val="68217C9C"/>
    <w:rsid w:val="696A3A15"/>
    <w:rsid w:val="697642E4"/>
    <w:rsid w:val="6A93548F"/>
    <w:rsid w:val="6B1F4C1C"/>
    <w:rsid w:val="6CF8591D"/>
    <w:rsid w:val="6D1C3A8A"/>
    <w:rsid w:val="6DF00AF9"/>
    <w:rsid w:val="6E4C09BE"/>
    <w:rsid w:val="6E571F8A"/>
    <w:rsid w:val="700D4880"/>
    <w:rsid w:val="7192431A"/>
    <w:rsid w:val="719F32C3"/>
    <w:rsid w:val="72212189"/>
    <w:rsid w:val="722E4FFD"/>
    <w:rsid w:val="7290458E"/>
    <w:rsid w:val="735D66E8"/>
    <w:rsid w:val="73ED636A"/>
    <w:rsid w:val="743B3A9A"/>
    <w:rsid w:val="74EA2363"/>
    <w:rsid w:val="74FE22E5"/>
    <w:rsid w:val="751D4B38"/>
    <w:rsid w:val="75862A38"/>
    <w:rsid w:val="759B6837"/>
    <w:rsid w:val="777B446A"/>
    <w:rsid w:val="783631DB"/>
    <w:rsid w:val="78D974FF"/>
    <w:rsid w:val="78E2626C"/>
    <w:rsid w:val="7A082FBC"/>
    <w:rsid w:val="7A28460F"/>
    <w:rsid w:val="7AC708F5"/>
    <w:rsid w:val="7AE65472"/>
    <w:rsid w:val="7D02441C"/>
    <w:rsid w:val="7D34314A"/>
    <w:rsid w:val="7E503467"/>
    <w:rsid w:val="7EC24778"/>
    <w:rsid w:val="7F583754"/>
    <w:rsid w:val="7F734355"/>
    <w:rsid w:val="7F822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120" w:after="120" w:line="360" w:lineRule="auto"/>
      <w:outlineLvl w:val="0"/>
    </w:pPr>
    <w:rPr>
      <w:b/>
      <w:bCs/>
      <w:kern w:val="44"/>
      <w:sz w:val="24"/>
      <w:szCs w:val="44"/>
    </w:rPr>
  </w:style>
  <w:style w:type="paragraph" w:styleId="3">
    <w:name w:val="heading 2"/>
    <w:basedOn w:val="1"/>
    <w:next w:val="1"/>
    <w:link w:val="10"/>
    <w:unhideWhenUsed/>
    <w:qFormat/>
    <w:uiPriority w:val="9"/>
    <w:pPr>
      <w:keepNext/>
      <w:keepLines/>
      <w:spacing w:line="415" w:lineRule="auto"/>
      <w:ind w:firstLine="200" w:firstLineChars="200"/>
      <w:outlineLvl w:val="1"/>
    </w:pPr>
    <w:rPr>
      <w:rFonts w:asciiTheme="majorHAnsi" w:hAnsiTheme="majorHAnsi" w:eastAsiaTheme="majorEastAsia" w:cstheme="majorBidi"/>
      <w:b/>
      <w:bCs/>
      <w:szCs w:val="32"/>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7"/>
    <w:link w:val="2"/>
    <w:qFormat/>
    <w:uiPriority w:val="9"/>
    <w:rPr>
      <w:b/>
      <w:bCs/>
      <w:kern w:val="44"/>
      <w:sz w:val="24"/>
      <w:szCs w:val="44"/>
    </w:rPr>
  </w:style>
  <w:style w:type="character" w:customStyle="1" w:styleId="10">
    <w:name w:val="标题 2 字符"/>
    <w:basedOn w:val="7"/>
    <w:link w:val="3"/>
    <w:qFormat/>
    <w:uiPriority w:val="9"/>
    <w:rPr>
      <w:rFonts w:asciiTheme="majorHAnsi" w:hAnsiTheme="majorHAnsi" w:eastAsiaTheme="majorEastAsia" w:cstheme="majorBidi"/>
      <w:b/>
      <w:bCs/>
      <w:szCs w:val="32"/>
    </w:rPr>
  </w:style>
  <w:style w:type="character" w:customStyle="1" w:styleId="11">
    <w:name w:val="页眉 字符"/>
    <w:basedOn w:val="7"/>
    <w:link w:val="6"/>
    <w:qFormat/>
    <w:uiPriority w:val="99"/>
    <w:rPr>
      <w:sz w:val="18"/>
      <w:szCs w:val="18"/>
    </w:rPr>
  </w:style>
  <w:style w:type="character" w:customStyle="1" w:styleId="12">
    <w:name w:val="页脚 字符"/>
    <w:basedOn w:val="7"/>
    <w:link w:val="5"/>
    <w:qFormat/>
    <w:uiPriority w:val="99"/>
    <w:rPr>
      <w:sz w:val="18"/>
      <w:szCs w:val="18"/>
    </w:rPr>
  </w:style>
  <w:style w:type="paragraph" w:customStyle="1" w:styleId="13">
    <w:name w:val="列出段落1"/>
    <w:basedOn w:val="1"/>
    <w:link w:val="14"/>
    <w:qFormat/>
    <w:uiPriority w:val="34"/>
    <w:pPr>
      <w:spacing w:line="440" w:lineRule="exact"/>
      <w:ind w:firstLine="420" w:firstLineChars="200"/>
    </w:pPr>
    <w:rPr>
      <w:rFonts w:ascii="Calibri" w:hAnsi="Calibri" w:eastAsia="仿宋" w:cs="Times New Roman"/>
      <w:sz w:val="28"/>
      <w:lang w:val="zh-CN"/>
    </w:rPr>
  </w:style>
  <w:style w:type="character" w:customStyle="1" w:styleId="14">
    <w:name w:val="列出段落 Char"/>
    <w:link w:val="13"/>
    <w:qFormat/>
    <w:locked/>
    <w:uiPriority w:val="34"/>
    <w:rPr>
      <w:rFonts w:ascii="Calibri" w:hAnsi="Calibri" w:eastAsia="仿宋" w:cs="Times New Roman"/>
      <w:sz w:val="28"/>
      <w:lang w:val="zh-CN" w:eastAsia="zh-CN"/>
    </w:rPr>
  </w:style>
  <w:style w:type="paragraph" w:styleId="15">
    <w:name w:val="List Paragraph"/>
    <w:basedOn w:val="1"/>
    <w:qFormat/>
    <w:uiPriority w:val="0"/>
    <w:pPr>
      <w:ind w:firstLine="420" w:firstLineChars="200"/>
    </w:pPr>
    <w:rPr>
      <w:szCs w:val="24"/>
    </w:rPr>
  </w:style>
  <w:style w:type="character" w:customStyle="1" w:styleId="16">
    <w:name w:val="批注框文本 字符"/>
    <w:basedOn w:val="7"/>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35</Pages>
  <Words>4865</Words>
  <Characters>27733</Characters>
  <Lines>231</Lines>
  <Paragraphs>65</Paragraphs>
  <ScaleCrop>false</ScaleCrop>
  <LinksUpToDate>false</LinksUpToDate>
  <CharactersWithSpaces>32533</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2017-10-11T07:08:00Z</dcterms:created>
  <dc:creator>Windows User</dc:creator>
  <cp:lastModifiedBy>Administrator</cp:lastModifiedBy>
  <dcterms:modified xsi:type="dcterms:W3CDTF">2017-12-15T02:24:34Z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